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ind w:firstLineChars="0" w:firstLine="0"/>
        <w:rPr>
          <w:rFonts w:eastAsia="华文中宋"/>
          <w:b/>
          <w:sz w:val="48"/>
          <w:szCs w:val="48"/>
        </w:rPr>
      </w:pPr>
    </w:p>
    <w:p>
      <w:pPr>
        <w:rPr>
          <w:rFonts w:eastAsia="华文中宋"/>
          <w:b/>
          <w:sz w:val="48"/>
          <w:szCs w:val="48"/>
        </w:rPr>
      </w:pPr>
    </w:p>
    <w:p>
      <w:pPr>
        <w:rPr>
          <w:rFonts w:eastAsia="华文中宋"/>
          <w:b/>
          <w:sz w:val="48"/>
          <w:szCs w:val="48"/>
        </w:rPr>
      </w:pPr>
    </w:p>
    <w:p>
      <w:pPr>
        <w:rPr>
          <w:rFonts w:eastAsia="华文中宋"/>
          <w:b/>
          <w:sz w:val="48"/>
          <w:szCs w:val="48"/>
        </w:rPr>
      </w:pPr>
    </w:p>
    <w:p>
      <w:pPr>
        <w:pStyle w:val="33"/>
        <w:spacing w:after="0" w:line="240" w:lineRule="auto"/>
        <w:ind w:leftChars="0" w:left="0" w:firstLineChars="0" w:firstLine="0"/>
        <w:jc w:val="center"/>
        <w:rPr>
          <w:rFonts w:eastAsia="方正小标宋简体"/>
          <w:sz w:val="52"/>
          <w:szCs w:val="52"/>
        </w:rPr>
      </w:pPr>
      <w:bookmarkStart w:id="0" w:name="_Hlk196380361"/>
      <w:r>
        <w:rPr>
          <w:rFonts w:eastAsia="方正小标宋简体" w:hint="eastAsia"/>
          <w:sz w:val="52"/>
          <w:szCs w:val="52"/>
        </w:rPr>
        <w:t>波密县“十五五”时期</w:t>
      </w:r>
    </w:p>
    <w:p>
      <w:pPr>
        <w:pStyle w:val="33"/>
        <w:spacing w:after="0" w:line="240" w:lineRule="auto"/>
        <w:ind w:leftChars="0" w:left="0" w:firstLineChars="0" w:firstLine="0"/>
        <w:jc w:val="center"/>
        <w:rPr>
          <w:rFonts w:eastAsia="方正小标宋简体"/>
          <w:sz w:val="52"/>
          <w:szCs w:val="52"/>
        </w:rPr>
      </w:pPr>
      <w:r>
        <w:rPr>
          <w:rFonts w:eastAsia="方正小标宋简体"/>
          <w:sz w:val="52"/>
          <w:szCs w:val="52"/>
        </w:rPr>
        <w:t>国民经济和社会发展规划</w:t>
      </w:r>
      <w:r>
        <w:rPr>
          <w:rFonts w:eastAsia="方正小标宋简体" w:hint="eastAsia"/>
          <w:sz w:val="52"/>
          <w:szCs w:val="52"/>
        </w:rPr>
        <w:t>纲要</w:t>
      </w:r>
    </w:p>
    <w:p>
      <w:pPr>
        <w:pStyle w:val="33"/>
        <w:spacing w:after="0"/>
        <w:ind w:leftChars="0" w:left="0" w:firstLineChars="0" w:firstLine="0"/>
        <w:jc w:val="center"/>
        <w:rPr>
          <w:rFonts w:eastAsia="方正楷体_GBK"/>
          <w:szCs w:val="32"/>
        </w:rPr>
      </w:pPr>
      <w:bookmarkEnd w:id="0"/>
    </w:p>
    <w:p>
      <w:pPr>
        <w:spacing w:beforeLines="100" w:before="312" w:afterLines="100" w:after="312"/>
        <w:ind w:firstLineChars="0" w:firstLine="0"/>
        <w:jc w:val="center"/>
        <w:rPr>
          <w:rFonts w:eastAsia="华文中宋"/>
          <w:b/>
          <w:sz w:val="48"/>
          <w:szCs w:val="48"/>
        </w:rPr>
      </w:pPr>
    </w:p>
    <w:p>
      <w:pPr>
        <w:jc w:val="center"/>
        <w:rPr>
          <w:rFonts w:eastAsia="文鼎CS楷体"/>
          <w:sz w:val="25"/>
          <w:szCs w:val="25"/>
        </w:rPr>
      </w:pPr>
    </w:p>
    <w:p>
      <w:pPr>
        <w:jc w:val="center"/>
        <w:rPr>
          <w:rFonts w:eastAsia="文鼎CS楷体"/>
          <w:sz w:val="25"/>
          <w:szCs w:val="25"/>
        </w:rPr>
      </w:pPr>
    </w:p>
    <w:p>
      <w:pPr>
        <w:jc w:val="center"/>
        <w:rPr>
          <w:rFonts w:eastAsia="文鼎CS楷体"/>
          <w:sz w:val="25"/>
          <w:szCs w:val="25"/>
        </w:rPr>
      </w:pPr>
    </w:p>
    <w:p>
      <w:pPr>
        <w:jc w:val="center"/>
        <w:rPr>
          <w:rFonts w:eastAsia="文鼎CS楷体"/>
          <w:sz w:val="25"/>
          <w:szCs w:val="25"/>
        </w:rPr>
      </w:pPr>
    </w:p>
    <w:p>
      <w:pPr>
        <w:jc w:val="center"/>
        <w:rPr>
          <w:rFonts w:eastAsia="文鼎CS楷体"/>
          <w:sz w:val="25"/>
          <w:szCs w:val="25"/>
        </w:rPr>
      </w:pPr>
    </w:p>
    <w:p>
      <w:pPr>
        <w:jc w:val="center"/>
        <w:rPr>
          <w:rFonts w:eastAsia="文鼎CS楷体"/>
          <w:sz w:val="25"/>
          <w:szCs w:val="25"/>
        </w:rPr>
      </w:pPr>
    </w:p>
    <w:p>
      <w:pPr>
        <w:jc w:val="center"/>
        <w:rPr>
          <w:rFonts w:eastAsia="文鼎CS楷体"/>
          <w:sz w:val="25"/>
          <w:szCs w:val="25"/>
        </w:rPr>
      </w:pPr>
    </w:p>
    <w:p>
      <w:pPr>
        <w:jc w:val="center"/>
        <w:rPr>
          <w:rFonts w:eastAsia="文鼎CS楷体"/>
          <w:sz w:val="25"/>
          <w:szCs w:val="25"/>
        </w:rPr>
      </w:pPr>
    </w:p>
    <w:p>
      <w:pPr>
        <w:ind w:firstLineChars="0" w:firstLine="0"/>
        <w:rPr>
          <w:b/>
          <w:sz w:val="36"/>
          <w:szCs w:val="24"/>
        </w:rPr>
      </w:pPr>
    </w:p>
    <w:p>
      <w:pPr>
        <w:ind w:firstLineChars="0" w:firstLine="0"/>
        <w:jc w:val="center"/>
        <w:rPr>
          <w:rFonts w:eastAsia="方正楷体_GBK"/>
          <w:sz w:val="36"/>
          <w:szCs w:val="36"/>
        </w:rPr>
      </w:pPr>
      <w:r>
        <w:rPr>
          <w:rFonts w:eastAsia="方正楷体_GBK" w:hint="eastAsia"/>
          <w:sz w:val="36"/>
          <w:szCs w:val="36"/>
        </w:rPr>
        <w:t>波密县发展改革和经信商务局</w:t>
      </w:r>
    </w:p>
    <w:p>
      <w:pPr>
        <w:ind w:firstLineChars="950" w:firstLine="3420"/>
        <w:rPr>
          <w:rFonts w:eastAsia="方正楷体_GBK"/>
          <w:sz w:val="36"/>
          <w:szCs w:val="36"/>
        </w:rPr>
      </w:pPr>
      <w:r>
        <w:rPr>
          <w:rFonts w:eastAsia="方正楷体_GBK"/>
          <w:sz w:val="36"/>
          <w:szCs w:val="36"/>
        </w:rPr>
        <mc:AlternateContent>
          <mc:Choice Requires="wps">
            <w:drawing>
              <wp:anchor distT="0" distB="0" distL="114298" distR="114298" simplePos="0" relativeHeight="12" behindDoc="0" locked="0" layoutInCell="1" hidden="0" allowOverlap="1">
                <wp:simplePos x="0" y="0"/>
                <wp:positionH relativeFrom="column">
                  <wp:posOffset>959485</wp:posOffset>
                </wp:positionH>
                <wp:positionV relativeFrom="paragraph">
                  <wp:posOffset>4188460</wp:posOffset>
                </wp:positionV>
                <wp:extent cx="2454910" cy="385445"/>
                <wp:effectExtent l="0" t="0" r="0" b="0"/>
                <wp:wrapNone/>
                <wp:docPr id="1" name="矩形 1"/>
                <wp:cNvGraphicFramePr>
                  <a:graphicFrameLocks noChangeAspect="0"/>
                </wp:cNvGraphicFramePr>
                <a:graphic>
                  <a:graphicData uri="http://schemas.microsoft.com/office/word/2010/wordprocessingShape">
                    <wps:wsp>
                      <wps:cNvSpPr/>
                      <wps:spPr>
                        <a:xfrm rot="0">
                          <a:off x="0" y="0"/>
                          <a:ext cx="2454910" cy="385445"/>
                        </a:xfrm>
                        <a:prstGeom prst="rect"/>
                        <a:solidFill>
                          <a:srgbClr val="FFFFFF"/>
                        </a:solidFill>
                        <a:ln w="9525" cmpd="sng" cap="flat">
                          <a:solidFill>
                            <a:srgbClr val="FFFFFF"/>
                          </a:solidFill>
                          <a:prstDash val="solid"/>
                          <a:miter/>
                        </a:ln>
                      </wps:spPr>
                      <wps:bodyPr vert="horz" wrap="square" lIns="91440" tIns="45720" rIns="91440" bIns="45720" anchor="t" anchorCtr="0" upright="1">
                        <a:noAutofit/>
                      </wps:bodyPr>
                    </wps:wsp>
                  </a:graphicData>
                </a:graphic>
              </wp:anchor>
            </w:drawing>
          </mc:Choice>
          <mc:Fallback>
            <w:pict>
              <v:rect type="#_x0000_t1" id="矩形 1 2" o:spid="_x0000_s2" fillcolor="#FFFFFF" stroked="t" style="position:absolute;margin-left:75.55pt;margin-top:329.8pt;width:193.30002pt;height:30.350002pt;z-index:12;mso-position-horizontal:absolute;mso-position-vertical:absolute;mso-wrap-distance-left:8.999863pt;mso-wrap-distance-right:8.999863pt;">
                <v:stroke color="#FFFFFF"/>
              </v:rect>
            </w:pict>
          </mc:Fallback>
        </mc:AlternateContent>
      </w:r>
      <w:r>
        <w:rPr>
          <w:rFonts w:eastAsia="方正楷体_GBK"/>
          <w:sz w:val="36"/>
          <w:szCs w:val="36"/>
        </w:rPr>
        <w:t>2026年1月</w:t>
      </w:r>
    </w:p>
    <w:p>
      <w:pPr>
        <w:ind w:firstLineChars="950" w:firstLine="3420"/>
        <w:rPr>
          <w:rFonts w:eastAsia="方正楷体_GBK"/>
          <w:sz w:val="36"/>
          <w:szCs w:val="36"/>
        </w:rPr>
      </w:pPr>
    </w:p>
    <w:p>
      <w:r>
        <w:br w:type="page"/>
        <w:br w:type="page"/>
      </w:r>
    </w:p>
    <w:bookmarkStart w:id="1" w:name="OLE_LINK326" w:displacedByCustomXml="next"/>
    <w:sdt>
      <w:sdtPr>
        <w:rPr>
          <w:lang w:val="zh-CN"/>
        </w:rPr>
        <w:id w:val="-616556228"/>
        <w:docPartObj>
          <w:docPartGallery w:val="Table of Contents"/>
          <w:docPartUnique/>
        </w:docPartObj>
      </w:sdtPr>
      <w:sdtEndPr>
        <w:rPr>
          <w:b/>
          <w:bCs/>
        </w:rPr>
      </w:sdtEndPr>
      <w:sdtContent>
        <w:p>
          <w:pPr>
            <w:widowControl/>
            <w:ind w:firstLineChars="0" w:firstLine="0"/>
            <w:jc w:val="center"/>
            <w:rPr>
              <w:rFonts w:eastAsia="方正黑体_GBK"/>
              <w:sz w:val="28"/>
              <w:szCs w:val="28"/>
              <w:lang w:val="zh-CN"/>
            </w:rPr>
          </w:pPr>
          <w:r>
            <w:rPr>
              <w:rFonts w:eastAsia="方正黑体_GBK"/>
              <w:sz w:val="28"/>
              <w:szCs w:val="28"/>
              <w:lang w:val="zh-CN"/>
            </w:rPr>
            <w:t>目  录</w:t>
          </w:r>
        </w:p>
        <w:p>
          <w:pPr>
            <w:widowControl/>
            <w:ind w:firstLineChars="0" w:firstLine="0"/>
            <w:jc w:val="center"/>
          </w:pPr>
        </w:p>
        <w:p>
          <w:pPr>
            <w:pStyle w:val="26"/>
            <w:tabs>
              <w:tab w:val="clear" w:pos="8296"/>
              <w:tab w:val="right" w:leader="dot" w:pos="8789"/>
            </w:tabs>
            <w:spacing w:line="360" w:lineRule="auto"/>
            <w:rPr>
              <w:rFonts w:ascii="等线" w:eastAsia="等线" w:cs="Arial"/>
              <w:b w:val="0"/>
              <w:bCs w:val="0"/>
              <w:szCs w:val="22"/>
            </w:rPr>
          </w:pPr>
          <w:r>
            <w:fldChar w:fldCharType="begin"/>
          </w:r>
          <w:r>
            <w:instrText xml:space="preserve"> TOC \o "1-3" \h \z \u </w:instrText>
          </w:r>
          <w:r>
            <w:fldChar w:fldCharType="separate"/>
          </w:r>
          <w:r>
            <w:fldChar w:fldCharType="begin"/>
          </w:r>
          <w:r>
            <w:instrText>Hyperlink \l "_Toc223858402"</w:instrText>
          </w:r>
          <w:r>
            <w:fldChar w:fldCharType="separate"/>
          </w:r>
          <w:r>
            <w:t>第一章 发展基础与发展环境</w:t>
            <w:tab/>
          </w:r>
          <w:r>
            <w:fldChar w:fldCharType="begin"/>
          </w:r>
          <w:r>
            <w:instrText xml:space="preserve"> PAGEREF _Toc223858402 \h </w:instrText>
          </w:r>
          <w:r>
            <w:fldChar w:fldCharType="separate"/>
          </w:r>
          <w:r>
            <w:t>1</w:t>
          </w:r>
          <w:r>
            <w:fldChar w:fldCharType="end"/>
          </w:r>
          <w:r>
            <w:fldChar w:fldCharType="end"/>
          </w:r>
        </w:p>
        <w:p>
          <w:pPr>
            <w:pStyle w:val="29"/>
            <w:tabs>
              <w:tab w:val="right" w:leader="dot" w:pos="8789"/>
              <w:tab w:val="right" w:leader="dot" w:pos="8834"/>
            </w:tabs>
            <w:rPr>
              <w:rFonts w:ascii="等线" w:eastAsia="等线" w:cs="Arial"/>
              <w:szCs w:val="22"/>
            </w:rPr>
          </w:pPr>
          <w:r>
            <w:fldChar w:fldCharType="begin"/>
          </w:r>
          <w:r>
            <w:instrText>Hyperlink \l "_Toc223858403"</w:instrText>
          </w:r>
          <w:r>
            <w:fldChar w:fldCharType="separate"/>
          </w:r>
          <w:r>
            <w:t>第一节 发展基础</w:t>
            <w:tab/>
          </w:r>
          <w:r>
            <w:fldChar w:fldCharType="begin"/>
          </w:r>
          <w:r>
            <w:instrText xml:space="preserve"> PAGEREF _Toc223858403 \h </w:instrText>
          </w:r>
          <w:r>
            <w:fldChar w:fldCharType="separate"/>
          </w:r>
          <w:r>
            <w:t>1</w:t>
          </w:r>
          <w:r>
            <w:fldChar w:fldCharType="end"/>
          </w:r>
          <w:r>
            <w:fldChar w:fldCharType="end"/>
          </w:r>
        </w:p>
        <w:p>
          <w:pPr>
            <w:pStyle w:val="29"/>
            <w:tabs>
              <w:tab w:val="right" w:leader="dot" w:pos="8789"/>
              <w:tab w:val="right" w:leader="dot" w:pos="8834"/>
            </w:tabs>
            <w:rPr>
              <w:rFonts w:ascii="等线" w:eastAsia="等线" w:cs="Arial"/>
              <w:szCs w:val="22"/>
            </w:rPr>
          </w:pPr>
          <w:r>
            <w:fldChar w:fldCharType="begin"/>
          </w:r>
          <w:r>
            <w:instrText>Hyperlink \l "_Toc223858404"</w:instrText>
          </w:r>
          <w:r>
            <w:fldChar w:fldCharType="separate"/>
          </w:r>
          <w:r>
            <w:t>第二节 发展环境</w:t>
            <w:tab/>
          </w:r>
          <w:r>
            <w:fldChar w:fldCharType="begin"/>
          </w:r>
          <w:r>
            <w:instrText xml:space="preserve"> PAGEREF _Toc223858404 \h </w:instrText>
          </w:r>
          <w:r>
            <w:fldChar w:fldCharType="separate"/>
          </w:r>
          <w:r>
            <w:t>6</w:t>
          </w:r>
          <w:r>
            <w:fldChar w:fldCharType="end"/>
          </w:r>
          <w:r>
            <w:fldChar w:fldCharType="end"/>
          </w:r>
        </w:p>
        <w:p>
          <w:pPr>
            <w:pStyle w:val="26"/>
            <w:tabs>
              <w:tab w:val="clear" w:pos="8296"/>
              <w:tab w:val="right" w:leader="dot" w:pos="8789"/>
            </w:tabs>
            <w:spacing w:line="360" w:lineRule="auto"/>
            <w:rPr>
              <w:rFonts w:ascii="等线" w:eastAsia="等线" w:cs="Arial"/>
              <w:b w:val="0"/>
              <w:bCs w:val="0"/>
              <w:szCs w:val="22"/>
            </w:rPr>
          </w:pPr>
          <w:r>
            <w:fldChar w:fldCharType="begin"/>
          </w:r>
          <w:r>
            <w:instrText>Hyperlink \l "_Toc223858405"</w:instrText>
          </w:r>
          <w:r>
            <w:fldChar w:fldCharType="separate"/>
          </w:r>
          <w:r>
            <w:t>第二章 总体思路</w:t>
            <w:tab/>
          </w:r>
          <w:r>
            <w:fldChar w:fldCharType="begin"/>
          </w:r>
          <w:r>
            <w:instrText xml:space="preserve"> PAGEREF _Toc223858405 \h </w:instrText>
          </w:r>
          <w:r>
            <w:fldChar w:fldCharType="separate"/>
          </w:r>
          <w:r>
            <w:t>8</w:t>
          </w:r>
          <w:r>
            <w:fldChar w:fldCharType="end"/>
          </w:r>
          <w:r>
            <w:fldChar w:fldCharType="end"/>
          </w:r>
        </w:p>
        <w:p>
          <w:pPr>
            <w:pStyle w:val="29"/>
            <w:tabs>
              <w:tab w:val="right" w:leader="dot" w:pos="8789"/>
              <w:tab w:val="right" w:leader="dot" w:pos="8834"/>
            </w:tabs>
            <w:rPr>
              <w:rFonts w:ascii="等线" w:eastAsia="等线" w:cs="Arial"/>
              <w:szCs w:val="22"/>
            </w:rPr>
          </w:pPr>
          <w:r>
            <w:fldChar w:fldCharType="begin"/>
          </w:r>
          <w:r>
            <w:instrText>Hyperlink \l "_Toc223858406"</w:instrText>
          </w:r>
          <w:r>
            <w:fldChar w:fldCharType="separate"/>
          </w:r>
          <w:r>
            <w:t>第一节 指导思想</w:t>
            <w:tab/>
          </w:r>
          <w:r>
            <w:fldChar w:fldCharType="begin"/>
          </w:r>
          <w:r>
            <w:instrText xml:space="preserve"> PAGEREF _Toc223858406 \h </w:instrText>
          </w:r>
          <w:r>
            <w:fldChar w:fldCharType="separate"/>
          </w:r>
          <w:r>
            <w:t>8</w:t>
          </w:r>
          <w:r>
            <w:fldChar w:fldCharType="end"/>
          </w:r>
          <w:r>
            <w:fldChar w:fldCharType="end"/>
          </w:r>
        </w:p>
        <w:p>
          <w:pPr>
            <w:pStyle w:val="29"/>
            <w:tabs>
              <w:tab w:val="right" w:leader="dot" w:pos="8789"/>
              <w:tab w:val="right" w:leader="dot" w:pos="8834"/>
            </w:tabs>
            <w:rPr>
              <w:rFonts w:ascii="等线" w:eastAsia="等线" w:cs="Arial"/>
              <w:szCs w:val="22"/>
            </w:rPr>
          </w:pPr>
          <w:r>
            <w:fldChar w:fldCharType="begin"/>
          </w:r>
          <w:r>
            <w:instrText>Hyperlink \l "_Toc223858407"</w:instrText>
          </w:r>
          <w:r>
            <w:fldChar w:fldCharType="separate"/>
          </w:r>
          <w:r>
            <w:t>第二节 基本原则</w:t>
            <w:tab/>
          </w:r>
          <w:r>
            <w:fldChar w:fldCharType="begin"/>
          </w:r>
          <w:r>
            <w:instrText xml:space="preserve"> PAGEREF _Toc223858407 \h </w:instrText>
          </w:r>
          <w:r>
            <w:fldChar w:fldCharType="separate"/>
          </w:r>
          <w:r>
            <w:t>8</w:t>
          </w:r>
          <w:r>
            <w:fldChar w:fldCharType="end"/>
          </w:r>
          <w:r>
            <w:fldChar w:fldCharType="end"/>
          </w:r>
        </w:p>
        <w:p>
          <w:pPr>
            <w:pStyle w:val="29"/>
            <w:tabs>
              <w:tab w:val="right" w:leader="dot" w:pos="8789"/>
              <w:tab w:val="right" w:leader="dot" w:pos="8834"/>
            </w:tabs>
            <w:rPr>
              <w:rFonts w:ascii="等线" w:eastAsia="等线" w:cs="Arial"/>
              <w:szCs w:val="22"/>
            </w:rPr>
          </w:pPr>
          <w:r>
            <w:fldChar w:fldCharType="begin"/>
          </w:r>
          <w:r>
            <w:instrText>Hyperlink \l "_Toc223858408"</w:instrText>
          </w:r>
          <w:r>
            <w:fldChar w:fldCharType="separate"/>
          </w:r>
          <w:r>
            <w:t>第三节 发展定位</w:t>
            <w:tab/>
          </w:r>
          <w:r>
            <w:fldChar w:fldCharType="begin"/>
          </w:r>
          <w:r>
            <w:instrText xml:space="preserve"> PAGEREF _Toc223858408 \h </w:instrText>
          </w:r>
          <w:r>
            <w:fldChar w:fldCharType="separate"/>
          </w:r>
          <w:r>
            <w:t>9</w:t>
          </w:r>
          <w:r>
            <w:fldChar w:fldCharType="end"/>
          </w:r>
          <w:r>
            <w:fldChar w:fldCharType="end"/>
          </w:r>
        </w:p>
        <w:p>
          <w:pPr>
            <w:pStyle w:val="29"/>
            <w:tabs>
              <w:tab w:val="right" w:leader="dot" w:pos="8789"/>
              <w:tab w:val="right" w:leader="dot" w:pos="8834"/>
            </w:tabs>
            <w:rPr>
              <w:rFonts w:ascii="等线" w:eastAsia="等线" w:cs="Arial"/>
              <w:szCs w:val="22"/>
            </w:rPr>
          </w:pPr>
          <w:r>
            <w:fldChar w:fldCharType="begin"/>
          </w:r>
          <w:r>
            <w:instrText>Hyperlink \l "_Toc223858409"</w:instrText>
          </w:r>
          <w:r>
            <w:fldChar w:fldCharType="separate"/>
          </w:r>
          <w:r>
            <w:t>第四节 发展目标</w:t>
            <w:tab/>
          </w:r>
          <w:r>
            <w:fldChar w:fldCharType="begin"/>
          </w:r>
          <w:r>
            <w:instrText xml:space="preserve"> PAGEREF _Toc223858409 \h </w:instrText>
          </w:r>
          <w:r>
            <w:fldChar w:fldCharType="separate"/>
          </w:r>
          <w:r>
            <w:t>10</w:t>
          </w:r>
          <w:r>
            <w:fldChar w:fldCharType="end"/>
          </w:r>
          <w:r>
            <w:fldChar w:fldCharType="end"/>
          </w:r>
        </w:p>
        <w:p>
          <w:pPr>
            <w:pStyle w:val="26"/>
            <w:tabs>
              <w:tab w:val="clear" w:pos="8296"/>
              <w:tab w:val="right" w:leader="dot" w:pos="8789"/>
            </w:tabs>
            <w:spacing w:line="360" w:lineRule="auto"/>
            <w:rPr>
              <w:rFonts w:ascii="等线" w:eastAsia="等线" w:cs="Arial"/>
              <w:b w:val="0"/>
              <w:bCs w:val="0"/>
              <w:szCs w:val="22"/>
            </w:rPr>
          </w:pPr>
          <w:r>
            <w:fldChar w:fldCharType="begin"/>
          </w:r>
          <w:r>
            <w:instrText>Hyperlink \l "_Toc223858410"</w:instrText>
          </w:r>
          <w:r>
            <w:fldChar w:fldCharType="separate"/>
          </w:r>
          <w:r>
            <w:t>第三章 稳定为先，增强安全保障能力</w:t>
            <w:tab/>
          </w:r>
          <w:r>
            <w:fldChar w:fldCharType="begin"/>
          </w:r>
          <w:r>
            <w:instrText xml:space="preserve"> PAGEREF _Toc223858410 \h </w:instrText>
          </w:r>
          <w:r>
            <w:fldChar w:fldCharType="separate"/>
          </w:r>
          <w:r>
            <w:t>12</w:t>
          </w:r>
          <w:r>
            <w:fldChar w:fldCharType="end"/>
          </w:r>
          <w:r>
            <w:fldChar w:fldCharType="end"/>
          </w:r>
        </w:p>
        <w:p>
          <w:pPr>
            <w:pStyle w:val="29"/>
            <w:tabs>
              <w:tab w:val="right" w:leader="dot" w:pos="8789"/>
              <w:tab w:val="right" w:leader="dot" w:pos="8834"/>
            </w:tabs>
            <w:rPr>
              <w:rFonts w:ascii="等线" w:eastAsia="等线" w:cs="Arial"/>
              <w:szCs w:val="22"/>
            </w:rPr>
          </w:pPr>
          <w:r>
            <w:fldChar w:fldCharType="begin"/>
          </w:r>
          <w:r>
            <w:instrText>Hyperlink \l "_Toc223858411"</w:instrText>
          </w:r>
          <w:r>
            <w:fldChar w:fldCharType="separate"/>
          </w:r>
          <w:r>
            <w:t>第一节 推进中华民族共同体建设</w:t>
            <w:tab/>
          </w:r>
          <w:r>
            <w:fldChar w:fldCharType="begin"/>
          </w:r>
          <w:r>
            <w:instrText xml:space="preserve"> PAGEREF _Toc223858411 \h </w:instrText>
          </w:r>
          <w:r>
            <w:fldChar w:fldCharType="separate"/>
          </w:r>
          <w:r>
            <w:t>12</w:t>
          </w:r>
          <w:r>
            <w:fldChar w:fldCharType="end"/>
          </w:r>
          <w:r>
            <w:fldChar w:fldCharType="end"/>
          </w:r>
        </w:p>
        <w:p>
          <w:pPr>
            <w:pStyle w:val="29"/>
            <w:tabs>
              <w:tab w:val="right" w:leader="dot" w:pos="8789"/>
              <w:tab w:val="right" w:leader="dot" w:pos="8834"/>
            </w:tabs>
            <w:rPr>
              <w:rFonts w:ascii="等线" w:eastAsia="等线" w:cs="Arial"/>
              <w:szCs w:val="22"/>
            </w:rPr>
          </w:pPr>
          <w:r>
            <w:fldChar w:fldCharType="begin"/>
          </w:r>
          <w:r>
            <w:instrText>Hyperlink \l "_Toc223858412"</w:instrText>
          </w:r>
          <w:r>
            <w:fldChar w:fldCharType="separate"/>
          </w:r>
          <w:r>
            <w:t>第二节 构建国家安全新格局</w:t>
            <w:tab/>
          </w:r>
          <w:r>
            <w:fldChar w:fldCharType="begin"/>
          </w:r>
          <w:r>
            <w:instrText xml:space="preserve"> PAGEREF _Toc223858412 \h </w:instrText>
          </w:r>
          <w:r>
            <w:fldChar w:fldCharType="separate"/>
          </w:r>
          <w:r>
            <w:t>12</w:t>
          </w:r>
          <w:r>
            <w:fldChar w:fldCharType="end"/>
          </w:r>
          <w:r>
            <w:fldChar w:fldCharType="end"/>
          </w:r>
        </w:p>
        <w:p>
          <w:pPr>
            <w:pStyle w:val="29"/>
            <w:tabs>
              <w:tab w:val="right" w:leader="dot" w:pos="8789"/>
              <w:tab w:val="right" w:leader="dot" w:pos="8834"/>
            </w:tabs>
            <w:rPr>
              <w:rFonts w:ascii="等线" w:eastAsia="等线" w:cs="Arial"/>
              <w:szCs w:val="22"/>
            </w:rPr>
          </w:pPr>
          <w:r>
            <w:fldChar w:fldCharType="begin"/>
          </w:r>
          <w:r>
            <w:instrText>Hyperlink \l "_Toc223858413"</w:instrText>
          </w:r>
          <w:r>
            <w:fldChar w:fldCharType="separate"/>
          </w:r>
          <w:r>
            <w:t>第三节 促进宗教和睦团结</w:t>
            <w:tab/>
          </w:r>
          <w:r>
            <w:fldChar w:fldCharType="begin"/>
          </w:r>
          <w:r>
            <w:instrText xml:space="preserve"> PAGEREF _Toc223858413 \h </w:instrText>
          </w:r>
          <w:r>
            <w:fldChar w:fldCharType="separate"/>
          </w:r>
          <w:r>
            <w:t>14</w:t>
          </w:r>
          <w:r>
            <w:fldChar w:fldCharType="end"/>
          </w:r>
          <w:r>
            <w:fldChar w:fldCharType="end"/>
          </w:r>
        </w:p>
        <w:p>
          <w:pPr>
            <w:pStyle w:val="29"/>
            <w:tabs>
              <w:tab w:val="right" w:leader="dot" w:pos="8789"/>
              <w:tab w:val="right" w:leader="dot" w:pos="8834"/>
            </w:tabs>
            <w:rPr>
              <w:rFonts w:ascii="等线" w:eastAsia="等线" w:cs="Arial"/>
              <w:szCs w:val="22"/>
            </w:rPr>
          </w:pPr>
          <w:r>
            <w:fldChar w:fldCharType="begin"/>
          </w:r>
          <w:r>
            <w:instrText>Hyperlink \l "_Toc223858414"</w:instrText>
          </w:r>
          <w:r>
            <w:fldChar w:fldCharType="separate"/>
          </w:r>
          <w:r>
            <w:t>第四节 推动精神文明与思想建设</w:t>
            <w:tab/>
          </w:r>
          <w:r>
            <w:fldChar w:fldCharType="begin"/>
          </w:r>
          <w:r>
            <w:instrText xml:space="preserve"> PAGEREF _Toc223858414 \h </w:instrText>
          </w:r>
          <w:r>
            <w:fldChar w:fldCharType="separate"/>
          </w:r>
          <w:r>
            <w:t>14</w:t>
          </w:r>
          <w:r>
            <w:fldChar w:fldCharType="end"/>
          </w:r>
          <w:r>
            <w:fldChar w:fldCharType="end"/>
          </w:r>
        </w:p>
        <w:p>
          <w:pPr>
            <w:pStyle w:val="29"/>
            <w:tabs>
              <w:tab w:val="right" w:leader="dot" w:pos="8789"/>
              <w:tab w:val="right" w:leader="dot" w:pos="8834"/>
            </w:tabs>
            <w:rPr>
              <w:rFonts w:ascii="等线" w:eastAsia="等线" w:cs="Arial"/>
              <w:szCs w:val="22"/>
            </w:rPr>
          </w:pPr>
          <w:r>
            <w:fldChar w:fldCharType="begin"/>
          </w:r>
          <w:r>
            <w:instrText>Hyperlink \l "_Toc223858415"</w:instrText>
          </w:r>
          <w:r>
            <w:fldChar w:fldCharType="separate"/>
          </w:r>
          <w:r>
            <w:t>第五节 协同推进法治与社会治安</w:t>
            <w:tab/>
          </w:r>
          <w:r>
            <w:fldChar w:fldCharType="begin"/>
          </w:r>
          <w:r>
            <w:instrText xml:space="preserve"> PAGEREF _Toc223858415 \h </w:instrText>
          </w:r>
          <w:r>
            <w:fldChar w:fldCharType="separate"/>
          </w:r>
          <w:r>
            <w:t>15</w:t>
          </w:r>
          <w:r>
            <w:fldChar w:fldCharType="end"/>
          </w:r>
          <w:r>
            <w:fldChar w:fldCharType="end"/>
          </w:r>
        </w:p>
        <w:p>
          <w:pPr>
            <w:pStyle w:val="29"/>
            <w:tabs>
              <w:tab w:val="right" w:leader="dot" w:pos="8789"/>
              <w:tab w:val="right" w:leader="dot" w:pos="8834"/>
            </w:tabs>
            <w:rPr>
              <w:rFonts w:ascii="等线" w:eastAsia="等线" w:cs="Arial"/>
              <w:szCs w:val="22"/>
            </w:rPr>
          </w:pPr>
          <w:r>
            <w:fldChar w:fldCharType="begin"/>
          </w:r>
          <w:r>
            <w:instrText>Hyperlink \l "_Toc223858416"</w:instrText>
          </w:r>
          <w:r>
            <w:fldChar w:fldCharType="separate"/>
          </w:r>
          <w:r>
            <w:t>第六节 保障公共安全秩序</w:t>
            <w:tab/>
          </w:r>
          <w:r>
            <w:fldChar w:fldCharType="begin"/>
          </w:r>
          <w:r>
            <w:instrText xml:space="preserve"> PAGEREF _Toc223858416 \h </w:instrText>
          </w:r>
          <w:r>
            <w:fldChar w:fldCharType="separate"/>
          </w:r>
          <w:r>
            <w:t>16</w:t>
          </w:r>
          <w:r>
            <w:fldChar w:fldCharType="end"/>
          </w:r>
          <w:r>
            <w:fldChar w:fldCharType="end"/>
          </w:r>
        </w:p>
        <w:p>
          <w:pPr>
            <w:pStyle w:val="26"/>
            <w:tabs>
              <w:tab w:val="clear" w:pos="8296"/>
              <w:tab w:val="right" w:leader="dot" w:pos="8789"/>
            </w:tabs>
            <w:spacing w:line="360" w:lineRule="auto"/>
            <w:rPr>
              <w:rFonts w:ascii="等线" w:eastAsia="等线" w:cs="Arial"/>
              <w:b w:val="0"/>
              <w:bCs w:val="0"/>
              <w:szCs w:val="22"/>
            </w:rPr>
          </w:pPr>
          <w:r>
            <w:fldChar w:fldCharType="begin"/>
          </w:r>
          <w:r>
            <w:instrText>Hyperlink \l "_Toc223858417"</w:instrText>
          </w:r>
          <w:r>
            <w:fldChar w:fldCharType="separate"/>
          </w:r>
          <w:r>
            <w:t>第四章 夯基筑本，构建现代化产业体系</w:t>
            <w:tab/>
          </w:r>
          <w:r>
            <w:fldChar w:fldCharType="begin"/>
          </w:r>
          <w:r>
            <w:instrText xml:space="preserve"> PAGEREF _Toc223858417 \h </w:instrText>
          </w:r>
          <w:r>
            <w:fldChar w:fldCharType="separate"/>
          </w:r>
          <w:r>
            <w:t>18</w:t>
          </w:r>
          <w:r>
            <w:fldChar w:fldCharType="end"/>
          </w:r>
          <w:r>
            <w:fldChar w:fldCharType="end"/>
          </w:r>
        </w:p>
        <w:p>
          <w:pPr>
            <w:pStyle w:val="29"/>
            <w:tabs>
              <w:tab w:val="right" w:leader="dot" w:pos="8789"/>
              <w:tab w:val="right" w:leader="dot" w:pos="8834"/>
            </w:tabs>
            <w:rPr>
              <w:rFonts w:ascii="等线" w:eastAsia="等线" w:cs="Arial"/>
              <w:szCs w:val="22"/>
            </w:rPr>
          </w:pPr>
          <w:r>
            <w:fldChar w:fldCharType="begin"/>
          </w:r>
          <w:r>
            <w:instrText>Hyperlink \l "_Toc223858418"</w:instrText>
          </w:r>
          <w:r>
            <w:fldChar w:fldCharType="separate"/>
          </w:r>
          <w:r>
            <w:t>第一节 构建波密全域旅游发展新格局</w:t>
            <w:tab/>
          </w:r>
          <w:r>
            <w:fldChar w:fldCharType="begin"/>
          </w:r>
          <w:r>
            <w:instrText xml:space="preserve"> PAGEREF _Toc223858418 \h </w:instrText>
          </w:r>
          <w:r>
            <w:fldChar w:fldCharType="separate"/>
          </w:r>
          <w:r>
            <w:t>18</w:t>
          </w:r>
          <w:r>
            <w:fldChar w:fldCharType="end"/>
          </w:r>
          <w:r>
            <w:fldChar w:fldCharType="end"/>
          </w:r>
        </w:p>
        <w:p>
          <w:pPr>
            <w:pStyle w:val="29"/>
            <w:tabs>
              <w:tab w:val="right" w:leader="dot" w:pos="8789"/>
              <w:tab w:val="right" w:leader="dot" w:pos="8834"/>
            </w:tabs>
            <w:rPr>
              <w:rFonts w:ascii="等线" w:eastAsia="等线" w:cs="Arial"/>
              <w:szCs w:val="22"/>
            </w:rPr>
          </w:pPr>
          <w:r>
            <w:fldChar w:fldCharType="begin"/>
          </w:r>
          <w:r>
            <w:instrText>Hyperlink \l "_Toc223858419"</w:instrText>
          </w:r>
          <w:r>
            <w:fldChar w:fldCharType="separate"/>
          </w:r>
          <w:r>
            <w:t>第二节 积极布局清洁能源上下游产业</w:t>
            <w:tab/>
          </w:r>
          <w:r>
            <w:fldChar w:fldCharType="begin"/>
          </w:r>
          <w:r>
            <w:instrText xml:space="preserve"> PAGEREF _Toc223858419 \h </w:instrText>
          </w:r>
          <w:r>
            <w:fldChar w:fldCharType="separate"/>
          </w:r>
          <w:r>
            <w:t>20</w:t>
          </w:r>
          <w:r>
            <w:fldChar w:fldCharType="end"/>
          </w:r>
          <w:r>
            <w:fldChar w:fldCharType="end"/>
          </w:r>
        </w:p>
        <w:p>
          <w:pPr>
            <w:pStyle w:val="29"/>
            <w:tabs>
              <w:tab w:val="right" w:leader="dot" w:pos="8789"/>
              <w:tab w:val="right" w:leader="dot" w:pos="8834"/>
            </w:tabs>
            <w:rPr>
              <w:rFonts w:ascii="等线" w:eastAsia="等线" w:cs="Arial"/>
              <w:szCs w:val="22"/>
            </w:rPr>
          </w:pPr>
          <w:r>
            <w:fldChar w:fldCharType="begin"/>
          </w:r>
          <w:r>
            <w:instrText>Hyperlink \l "_Toc223858420"</w:instrText>
          </w:r>
          <w:r>
            <w:fldChar w:fldCharType="separate"/>
          </w:r>
          <w:r>
            <w:t>第三节 优化发展高原特色农牧业</w:t>
            <w:tab/>
          </w:r>
          <w:r>
            <w:fldChar w:fldCharType="begin"/>
          </w:r>
          <w:r>
            <w:instrText xml:space="preserve"> PAGEREF _Toc223858420 \h </w:instrText>
          </w:r>
          <w:r>
            <w:fldChar w:fldCharType="separate"/>
          </w:r>
          <w:r>
            <w:t>20</w:t>
          </w:r>
          <w:r>
            <w:fldChar w:fldCharType="end"/>
          </w:r>
          <w:r>
            <w:fldChar w:fldCharType="end"/>
          </w:r>
        </w:p>
        <w:p>
          <w:pPr>
            <w:pStyle w:val="29"/>
            <w:tabs>
              <w:tab w:val="right" w:leader="dot" w:pos="8789"/>
              <w:tab w:val="right" w:leader="dot" w:pos="8834"/>
            </w:tabs>
            <w:rPr>
              <w:rFonts w:ascii="等线" w:eastAsia="等线" w:cs="Arial"/>
              <w:szCs w:val="22"/>
            </w:rPr>
          </w:pPr>
          <w:r>
            <w:fldChar w:fldCharType="begin"/>
          </w:r>
          <w:r>
            <w:instrText>Hyperlink \l "_Toc223858421"</w:instrText>
          </w:r>
          <w:r>
            <w:fldChar w:fldCharType="separate"/>
          </w:r>
          <w:r>
            <w:t>第四节 提质升级现代服务业</w:t>
            <w:tab/>
          </w:r>
          <w:r>
            <w:fldChar w:fldCharType="begin"/>
          </w:r>
          <w:r>
            <w:instrText xml:space="preserve"> PAGEREF _Toc223858421 \h </w:instrText>
          </w:r>
          <w:r>
            <w:fldChar w:fldCharType="separate"/>
          </w:r>
          <w:r>
            <w:t>22</w:t>
          </w:r>
          <w:r>
            <w:fldChar w:fldCharType="end"/>
          </w:r>
          <w:r>
            <w:fldChar w:fldCharType="end"/>
          </w:r>
        </w:p>
        <w:p>
          <w:pPr>
            <w:pStyle w:val="29"/>
            <w:tabs>
              <w:tab w:val="right" w:leader="dot" w:pos="8789"/>
              <w:tab w:val="right" w:leader="dot" w:pos="8834"/>
            </w:tabs>
            <w:rPr>
              <w:rFonts w:ascii="等线" w:eastAsia="等线" w:cs="Arial"/>
              <w:szCs w:val="22"/>
            </w:rPr>
          </w:pPr>
          <w:r>
            <w:fldChar w:fldCharType="begin"/>
          </w:r>
          <w:r>
            <w:instrText>Hyperlink \l "_Toc223858422"</w:instrText>
          </w:r>
          <w:r>
            <w:fldChar w:fldCharType="separate"/>
          </w:r>
          <w:r>
            <w:t>第五节 培育重大工程生活物资保障伴生产业</w:t>
            <w:tab/>
          </w:r>
          <w:r>
            <w:fldChar w:fldCharType="begin"/>
          </w:r>
          <w:r>
            <w:instrText xml:space="preserve"> PAGEREF _Toc223858422 \h </w:instrText>
          </w:r>
          <w:r>
            <w:fldChar w:fldCharType="separate"/>
          </w:r>
          <w:r>
            <w:t>23</w:t>
          </w:r>
          <w:r>
            <w:fldChar w:fldCharType="end"/>
          </w:r>
          <w:r>
            <w:fldChar w:fldCharType="end"/>
          </w:r>
        </w:p>
        <w:p>
          <w:pPr>
            <w:pStyle w:val="29"/>
            <w:tabs>
              <w:tab w:val="right" w:leader="dot" w:pos="8789"/>
              <w:tab w:val="right" w:leader="dot" w:pos="8834"/>
            </w:tabs>
            <w:rPr>
              <w:rFonts w:ascii="等线" w:eastAsia="等线" w:cs="Arial"/>
              <w:szCs w:val="22"/>
            </w:rPr>
          </w:pPr>
          <w:r>
            <w:fldChar w:fldCharType="begin"/>
          </w:r>
          <w:r>
            <w:instrText>Hyperlink \l "_Toc223858423"</w:instrText>
          </w:r>
          <w:r>
            <w:fldChar w:fldCharType="separate"/>
          </w:r>
          <w:r>
            <w:t>第六节 多措并举培育新质生产力</w:t>
            <w:tab/>
          </w:r>
          <w:r>
            <w:fldChar w:fldCharType="begin"/>
          </w:r>
          <w:r>
            <w:instrText xml:space="preserve"> PAGEREF _Toc223858423 \h </w:instrText>
          </w:r>
          <w:r>
            <w:fldChar w:fldCharType="separate"/>
          </w:r>
          <w:r>
            <w:t>23</w:t>
          </w:r>
          <w:r>
            <w:fldChar w:fldCharType="end"/>
          </w:r>
          <w:r>
            <w:fldChar w:fldCharType="end"/>
          </w:r>
        </w:p>
        <w:p>
          <w:pPr>
            <w:pStyle w:val="26"/>
            <w:tabs>
              <w:tab w:val="clear" w:pos="8296"/>
              <w:tab w:val="right" w:leader="dot" w:pos="8789"/>
            </w:tabs>
            <w:spacing w:line="360" w:lineRule="auto"/>
            <w:rPr>
              <w:rFonts w:ascii="等线" w:eastAsia="等线" w:cs="Arial"/>
              <w:b w:val="0"/>
              <w:bCs w:val="0"/>
              <w:szCs w:val="22"/>
            </w:rPr>
          </w:pPr>
          <w:r>
            <w:fldChar w:fldCharType="begin"/>
          </w:r>
          <w:r>
            <w:instrText>Hyperlink \l "_Toc223858424"</w:instrText>
          </w:r>
          <w:r>
            <w:fldChar w:fldCharType="separate"/>
          </w:r>
          <w:r>
            <w:t>第五章 精准施策，全面深化改革开放</w:t>
            <w:tab/>
          </w:r>
          <w:r>
            <w:fldChar w:fldCharType="begin"/>
          </w:r>
          <w:r>
            <w:instrText xml:space="preserve"> PAGEREF _Toc223858424 \h </w:instrText>
          </w:r>
          <w:r>
            <w:fldChar w:fldCharType="separate"/>
          </w:r>
          <w:r>
            <w:t>25</w:t>
          </w:r>
          <w:r>
            <w:fldChar w:fldCharType="end"/>
          </w:r>
          <w:r>
            <w:fldChar w:fldCharType="end"/>
          </w:r>
        </w:p>
        <w:p>
          <w:pPr>
            <w:pStyle w:val="29"/>
            <w:tabs>
              <w:tab w:val="right" w:leader="dot" w:pos="8789"/>
              <w:tab w:val="right" w:leader="dot" w:pos="8834"/>
            </w:tabs>
            <w:rPr>
              <w:rFonts w:ascii="等线" w:eastAsia="等线" w:cs="Arial"/>
              <w:szCs w:val="22"/>
            </w:rPr>
          </w:pPr>
          <w:r>
            <w:fldChar w:fldCharType="begin"/>
          </w:r>
          <w:r>
            <w:instrText>Hyperlink \l "_Toc223858425"</w:instrText>
          </w:r>
          <w:r>
            <w:fldChar w:fldCharType="separate"/>
          </w:r>
          <w:r>
            <w:t>第一节 深化重点领域改革</w:t>
            <w:tab/>
          </w:r>
          <w:r>
            <w:fldChar w:fldCharType="begin"/>
          </w:r>
          <w:r>
            <w:instrText xml:space="preserve"> PAGEREF _Toc223858425 \h </w:instrText>
          </w:r>
          <w:r>
            <w:fldChar w:fldCharType="separate"/>
          </w:r>
          <w:r>
            <w:t>25</w:t>
          </w:r>
          <w:r>
            <w:fldChar w:fldCharType="end"/>
          </w:r>
          <w:r>
            <w:fldChar w:fldCharType="end"/>
          </w:r>
        </w:p>
        <w:p>
          <w:pPr>
            <w:pStyle w:val="29"/>
            <w:tabs>
              <w:tab w:val="right" w:leader="dot" w:pos="8789"/>
              <w:tab w:val="right" w:leader="dot" w:pos="8834"/>
            </w:tabs>
            <w:rPr>
              <w:rFonts w:ascii="等线" w:eastAsia="等线" w:cs="Arial"/>
              <w:szCs w:val="22"/>
            </w:rPr>
          </w:pPr>
          <w:r>
            <w:fldChar w:fldCharType="begin"/>
          </w:r>
          <w:r>
            <w:instrText>Hyperlink \l "_Toc223858426"</w:instrText>
          </w:r>
          <w:r>
            <w:fldChar w:fldCharType="separate"/>
          </w:r>
          <w:r>
            <w:t>第二节 积极构建对外开放体系</w:t>
            <w:tab/>
          </w:r>
          <w:r>
            <w:fldChar w:fldCharType="begin"/>
          </w:r>
          <w:r>
            <w:instrText xml:space="preserve"> PAGEREF _Toc223858426 \h </w:instrText>
          </w:r>
          <w:r>
            <w:fldChar w:fldCharType="separate"/>
          </w:r>
          <w:r>
            <w:t>25</w:t>
          </w:r>
          <w:r>
            <w:fldChar w:fldCharType="end"/>
          </w:r>
          <w:r>
            <w:fldChar w:fldCharType="end"/>
          </w:r>
        </w:p>
        <w:p>
          <w:pPr>
            <w:pStyle w:val="26"/>
            <w:tabs>
              <w:tab w:val="clear" w:pos="8296"/>
              <w:tab w:val="right" w:leader="dot" w:pos="8789"/>
            </w:tabs>
            <w:spacing w:line="360" w:lineRule="auto"/>
            <w:rPr>
              <w:rFonts w:ascii="等线" w:eastAsia="等线" w:cs="Arial"/>
              <w:b w:val="0"/>
              <w:bCs w:val="0"/>
              <w:szCs w:val="22"/>
            </w:rPr>
          </w:pPr>
          <w:r>
            <w:fldChar w:fldCharType="begin"/>
          </w:r>
          <w:r>
            <w:instrText>Hyperlink \l "_Toc223858427"</w:instrText>
          </w:r>
          <w:r>
            <w:fldChar w:fldCharType="separate"/>
          </w:r>
          <w:r>
            <w:t>第六章 破局开路，培育现代化市场体系</w:t>
            <w:tab/>
          </w:r>
          <w:r>
            <w:fldChar w:fldCharType="begin"/>
          </w:r>
          <w:r>
            <w:instrText xml:space="preserve"> PAGEREF _Toc223858427 \h </w:instrText>
          </w:r>
          <w:r>
            <w:fldChar w:fldCharType="separate"/>
          </w:r>
          <w:r>
            <w:t>27</w:t>
          </w:r>
          <w:r>
            <w:fldChar w:fldCharType="end"/>
          </w:r>
          <w:r>
            <w:fldChar w:fldCharType="end"/>
          </w:r>
        </w:p>
        <w:p>
          <w:pPr>
            <w:pStyle w:val="29"/>
            <w:tabs>
              <w:tab w:val="right" w:leader="dot" w:pos="8789"/>
              <w:tab w:val="right" w:leader="dot" w:pos="8834"/>
            </w:tabs>
            <w:rPr>
              <w:rFonts w:ascii="等线" w:eastAsia="等线" w:cs="Arial"/>
              <w:szCs w:val="22"/>
            </w:rPr>
          </w:pPr>
          <w:r>
            <w:fldChar w:fldCharType="begin"/>
          </w:r>
          <w:r>
            <w:instrText>Hyperlink \l "_Toc223858428"</w:instrText>
          </w:r>
          <w:r>
            <w:fldChar w:fldCharType="separate"/>
          </w:r>
          <w:r>
            <w:t>第一节 提振消费升级</w:t>
            <w:tab/>
          </w:r>
          <w:r>
            <w:fldChar w:fldCharType="begin"/>
          </w:r>
          <w:r>
            <w:instrText xml:space="preserve"> PAGEREF _Toc223858428 \h </w:instrText>
          </w:r>
          <w:r>
            <w:fldChar w:fldCharType="separate"/>
          </w:r>
          <w:r>
            <w:t>27</w:t>
          </w:r>
          <w:r>
            <w:fldChar w:fldCharType="end"/>
          </w:r>
          <w:r>
            <w:fldChar w:fldCharType="end"/>
          </w:r>
        </w:p>
        <w:p>
          <w:pPr>
            <w:pStyle w:val="29"/>
            <w:tabs>
              <w:tab w:val="right" w:leader="dot" w:pos="8789"/>
              <w:tab w:val="right" w:leader="dot" w:pos="8834"/>
            </w:tabs>
            <w:rPr>
              <w:rFonts w:ascii="等线" w:eastAsia="等线" w:cs="Arial"/>
              <w:szCs w:val="22"/>
            </w:rPr>
          </w:pPr>
          <w:r>
            <w:fldChar w:fldCharType="begin"/>
          </w:r>
          <w:r>
            <w:instrText>Hyperlink \l "_Toc223858429"</w:instrText>
          </w:r>
          <w:r>
            <w:fldChar w:fldCharType="separate"/>
          </w:r>
          <w:r>
            <w:t>第二节 扩大精准投资</w:t>
            <w:tab/>
          </w:r>
          <w:r>
            <w:fldChar w:fldCharType="begin"/>
          </w:r>
          <w:r>
            <w:instrText xml:space="preserve"> PAGEREF _Toc223858429 \h </w:instrText>
          </w:r>
          <w:r>
            <w:fldChar w:fldCharType="separate"/>
          </w:r>
          <w:r>
            <w:t>27</w:t>
          </w:r>
          <w:r>
            <w:fldChar w:fldCharType="end"/>
          </w:r>
          <w:r>
            <w:fldChar w:fldCharType="end"/>
          </w:r>
        </w:p>
        <w:p>
          <w:pPr>
            <w:pStyle w:val="29"/>
            <w:tabs>
              <w:tab w:val="right" w:leader="dot" w:pos="8789"/>
              <w:tab w:val="right" w:leader="dot" w:pos="8834"/>
            </w:tabs>
            <w:rPr>
              <w:rFonts w:ascii="等线" w:eastAsia="等线" w:cs="Arial"/>
              <w:szCs w:val="22"/>
            </w:rPr>
          </w:pPr>
          <w:r>
            <w:fldChar w:fldCharType="begin"/>
          </w:r>
          <w:r>
            <w:instrText>Hyperlink \l "_Toc223858430"</w:instrText>
          </w:r>
          <w:r>
            <w:fldChar w:fldCharType="separate"/>
          </w:r>
          <w:r>
            <w:t>第三节 创优营商环境</w:t>
            <w:tab/>
          </w:r>
          <w:r>
            <w:fldChar w:fldCharType="begin"/>
          </w:r>
          <w:r>
            <w:instrText xml:space="preserve"> PAGEREF _Toc223858430 \h </w:instrText>
          </w:r>
          <w:r>
            <w:fldChar w:fldCharType="separate"/>
          </w:r>
          <w:r>
            <w:t>27</w:t>
          </w:r>
          <w:r>
            <w:fldChar w:fldCharType="end"/>
          </w:r>
          <w:r>
            <w:fldChar w:fldCharType="end"/>
          </w:r>
        </w:p>
        <w:p>
          <w:pPr>
            <w:pStyle w:val="26"/>
            <w:tabs>
              <w:tab w:val="clear" w:pos="8296"/>
              <w:tab w:val="right" w:leader="dot" w:pos="8789"/>
            </w:tabs>
            <w:spacing w:line="360" w:lineRule="auto"/>
            <w:rPr>
              <w:rFonts w:ascii="等线" w:eastAsia="等线" w:cs="Arial"/>
              <w:b w:val="0"/>
              <w:bCs w:val="0"/>
              <w:szCs w:val="22"/>
            </w:rPr>
          </w:pPr>
          <w:r>
            <w:fldChar w:fldCharType="begin"/>
          </w:r>
          <w:r>
            <w:instrText>Hyperlink \l "_Toc223858431"</w:instrText>
          </w:r>
          <w:r>
            <w:fldChar w:fldCharType="separate"/>
          </w:r>
          <w:r>
            <w:t>第七章 强化提升，完善基础设施建设</w:t>
            <w:tab/>
          </w:r>
          <w:r>
            <w:fldChar w:fldCharType="begin"/>
          </w:r>
          <w:r>
            <w:instrText xml:space="preserve"> PAGEREF _Toc223858431 \h </w:instrText>
          </w:r>
          <w:r>
            <w:fldChar w:fldCharType="separate"/>
          </w:r>
          <w:r>
            <w:t>29</w:t>
          </w:r>
          <w:r>
            <w:fldChar w:fldCharType="end"/>
          </w:r>
          <w:r>
            <w:fldChar w:fldCharType="end"/>
          </w:r>
        </w:p>
        <w:p>
          <w:pPr>
            <w:pStyle w:val="29"/>
            <w:tabs>
              <w:tab w:val="right" w:leader="dot" w:pos="8789"/>
              <w:tab w:val="right" w:leader="dot" w:pos="8834"/>
            </w:tabs>
            <w:rPr>
              <w:rFonts w:ascii="等线" w:eastAsia="等线" w:cs="Arial"/>
              <w:szCs w:val="22"/>
            </w:rPr>
          </w:pPr>
          <w:r>
            <w:fldChar w:fldCharType="begin"/>
          </w:r>
          <w:r>
            <w:instrText>Hyperlink \l "_Toc223858432"</w:instrText>
          </w:r>
          <w:r>
            <w:fldChar w:fldCharType="separate"/>
          </w:r>
          <w:r>
            <w:t>第一节 构建综合立体交通网络</w:t>
            <w:tab/>
          </w:r>
          <w:r>
            <w:fldChar w:fldCharType="begin"/>
          </w:r>
          <w:r>
            <w:instrText xml:space="preserve"> PAGEREF _Toc223858432 \h </w:instrText>
          </w:r>
          <w:r>
            <w:fldChar w:fldCharType="separate"/>
          </w:r>
          <w:r>
            <w:t>29</w:t>
          </w:r>
          <w:r>
            <w:fldChar w:fldCharType="end"/>
          </w:r>
          <w:r>
            <w:fldChar w:fldCharType="end"/>
          </w:r>
        </w:p>
        <w:p>
          <w:pPr>
            <w:pStyle w:val="29"/>
            <w:tabs>
              <w:tab w:val="right" w:leader="dot" w:pos="8789"/>
              <w:tab w:val="right" w:leader="dot" w:pos="8834"/>
            </w:tabs>
            <w:rPr>
              <w:rFonts w:ascii="等线" w:eastAsia="等线" w:cs="Arial"/>
              <w:szCs w:val="22"/>
            </w:rPr>
          </w:pPr>
          <w:r>
            <w:fldChar w:fldCharType="begin"/>
          </w:r>
          <w:r>
            <w:instrText>Hyperlink \l "_Toc223858433"</w:instrText>
          </w:r>
          <w:r>
            <w:fldChar w:fldCharType="separate"/>
          </w:r>
          <w:r>
            <w:t>第二节 加强水利基础设施建设</w:t>
            <w:tab/>
          </w:r>
          <w:r>
            <w:fldChar w:fldCharType="begin"/>
          </w:r>
          <w:r>
            <w:instrText xml:space="preserve"> PAGEREF _Toc223858433 \h </w:instrText>
          </w:r>
          <w:r>
            <w:fldChar w:fldCharType="separate"/>
          </w:r>
          <w:r>
            <w:t>30</w:t>
          </w:r>
          <w:r>
            <w:fldChar w:fldCharType="end"/>
          </w:r>
          <w:r>
            <w:fldChar w:fldCharType="end"/>
          </w:r>
        </w:p>
        <w:p>
          <w:pPr>
            <w:pStyle w:val="29"/>
            <w:tabs>
              <w:tab w:val="right" w:leader="dot" w:pos="8789"/>
              <w:tab w:val="right" w:leader="dot" w:pos="8834"/>
            </w:tabs>
            <w:rPr>
              <w:rFonts w:ascii="等线" w:eastAsia="等线" w:cs="Arial"/>
              <w:szCs w:val="22"/>
            </w:rPr>
          </w:pPr>
          <w:r>
            <w:fldChar w:fldCharType="begin"/>
          </w:r>
          <w:r>
            <w:instrText>Hyperlink \l "_Toc223858434"</w:instrText>
          </w:r>
          <w:r>
            <w:fldChar w:fldCharType="separate"/>
          </w:r>
          <w:r>
            <w:t>第三节 统筹公共基础设施建设</w:t>
            <w:tab/>
          </w:r>
          <w:r>
            <w:fldChar w:fldCharType="begin"/>
          </w:r>
          <w:r>
            <w:instrText xml:space="preserve"> PAGEREF _Toc223858434 \h </w:instrText>
          </w:r>
          <w:r>
            <w:fldChar w:fldCharType="separate"/>
          </w:r>
          <w:r>
            <w:t>31</w:t>
          </w:r>
          <w:r>
            <w:fldChar w:fldCharType="end"/>
          </w:r>
          <w:r>
            <w:fldChar w:fldCharType="end"/>
          </w:r>
        </w:p>
        <w:p>
          <w:pPr>
            <w:pStyle w:val="26"/>
            <w:tabs>
              <w:tab w:val="clear" w:pos="8296"/>
              <w:tab w:val="right" w:leader="dot" w:pos="8789"/>
            </w:tabs>
            <w:spacing w:line="360" w:lineRule="auto"/>
            <w:rPr>
              <w:rFonts w:ascii="等线" w:eastAsia="等线" w:cs="Arial"/>
              <w:b w:val="0"/>
              <w:bCs w:val="0"/>
              <w:szCs w:val="22"/>
            </w:rPr>
          </w:pPr>
          <w:r>
            <w:fldChar w:fldCharType="begin"/>
          </w:r>
          <w:r>
            <w:instrText>Hyperlink \l "_Toc223858435"</w:instrText>
          </w:r>
          <w:r>
            <w:fldChar w:fldCharType="separate"/>
          </w:r>
          <w:r>
            <w:t>第八章 提质扩容，优化国土空间布局</w:t>
            <w:tab/>
          </w:r>
          <w:r>
            <w:fldChar w:fldCharType="begin"/>
          </w:r>
          <w:r>
            <w:instrText xml:space="preserve"> PAGEREF _Toc223858435 \h </w:instrText>
          </w:r>
          <w:r>
            <w:fldChar w:fldCharType="separate"/>
          </w:r>
          <w:r>
            <w:t>33</w:t>
          </w:r>
          <w:r>
            <w:fldChar w:fldCharType="end"/>
          </w:r>
          <w:r>
            <w:fldChar w:fldCharType="end"/>
          </w:r>
        </w:p>
        <w:p>
          <w:pPr>
            <w:pStyle w:val="29"/>
            <w:tabs>
              <w:tab w:val="right" w:leader="dot" w:pos="8789"/>
              <w:tab w:val="right" w:leader="dot" w:pos="8834"/>
            </w:tabs>
            <w:rPr>
              <w:rFonts w:ascii="等线" w:eastAsia="等线" w:cs="Arial"/>
              <w:szCs w:val="22"/>
            </w:rPr>
          </w:pPr>
          <w:r>
            <w:fldChar w:fldCharType="begin"/>
          </w:r>
          <w:r>
            <w:instrText>Hyperlink \l "_Toc223858436"</w:instrText>
          </w:r>
          <w:r>
            <w:fldChar w:fldCharType="separate"/>
          </w:r>
          <w:r>
            <w:t>第一节 提升中心城区引领能力</w:t>
            <w:tab/>
          </w:r>
          <w:r>
            <w:fldChar w:fldCharType="begin"/>
          </w:r>
          <w:r>
            <w:instrText xml:space="preserve"> PAGEREF _Toc223858436 \h </w:instrText>
          </w:r>
          <w:r>
            <w:fldChar w:fldCharType="separate"/>
          </w:r>
          <w:r>
            <w:t>33</w:t>
          </w:r>
          <w:r>
            <w:fldChar w:fldCharType="end"/>
          </w:r>
          <w:r>
            <w:fldChar w:fldCharType="end"/>
          </w:r>
        </w:p>
        <w:p>
          <w:pPr>
            <w:pStyle w:val="29"/>
            <w:tabs>
              <w:tab w:val="right" w:leader="dot" w:pos="8789"/>
              <w:tab w:val="right" w:leader="dot" w:pos="8834"/>
            </w:tabs>
            <w:rPr>
              <w:rFonts w:ascii="等线" w:eastAsia="等线" w:cs="Arial"/>
              <w:szCs w:val="22"/>
            </w:rPr>
          </w:pPr>
          <w:r>
            <w:fldChar w:fldCharType="begin"/>
          </w:r>
          <w:r>
            <w:instrText>Hyperlink \l "_Toc223858437"</w:instrText>
          </w:r>
          <w:r>
            <w:fldChar w:fldCharType="separate"/>
          </w:r>
          <w:r>
            <w:t>第二节 强化交通干线联动能力</w:t>
            <w:tab/>
          </w:r>
          <w:r>
            <w:fldChar w:fldCharType="begin"/>
          </w:r>
          <w:r>
            <w:instrText xml:space="preserve"> PAGEREF _Toc223858437 \h </w:instrText>
          </w:r>
          <w:r>
            <w:fldChar w:fldCharType="separate"/>
          </w:r>
          <w:r>
            <w:t>33</w:t>
          </w:r>
          <w:r>
            <w:fldChar w:fldCharType="end"/>
          </w:r>
          <w:r>
            <w:fldChar w:fldCharType="end"/>
          </w:r>
        </w:p>
        <w:p>
          <w:pPr>
            <w:pStyle w:val="29"/>
            <w:tabs>
              <w:tab w:val="right" w:leader="dot" w:pos="8789"/>
              <w:tab w:val="right" w:leader="dot" w:pos="8834"/>
            </w:tabs>
            <w:rPr>
              <w:rFonts w:ascii="等线" w:eastAsia="等线" w:cs="Arial"/>
              <w:szCs w:val="22"/>
            </w:rPr>
          </w:pPr>
          <w:r>
            <w:fldChar w:fldCharType="begin"/>
          </w:r>
          <w:r>
            <w:instrText>Hyperlink \l "_Toc223858438"</w:instrText>
          </w:r>
          <w:r>
            <w:fldChar w:fldCharType="separate"/>
          </w:r>
          <w:r>
            <w:t>第三节 提高生态屏障支撑能力</w:t>
            <w:tab/>
          </w:r>
          <w:r>
            <w:fldChar w:fldCharType="begin"/>
          </w:r>
          <w:r>
            <w:instrText xml:space="preserve"> PAGEREF _Toc223858438 \h </w:instrText>
          </w:r>
          <w:r>
            <w:fldChar w:fldCharType="separate"/>
          </w:r>
          <w:r>
            <w:t>33</w:t>
          </w:r>
          <w:r>
            <w:fldChar w:fldCharType="end"/>
          </w:r>
          <w:r>
            <w:fldChar w:fldCharType="end"/>
          </w:r>
        </w:p>
        <w:p>
          <w:pPr>
            <w:pStyle w:val="29"/>
            <w:tabs>
              <w:tab w:val="right" w:leader="dot" w:pos="8789"/>
              <w:tab w:val="right" w:leader="dot" w:pos="8834"/>
            </w:tabs>
            <w:rPr>
              <w:rFonts w:ascii="等线" w:eastAsia="等线" w:cs="Arial"/>
              <w:szCs w:val="22"/>
            </w:rPr>
          </w:pPr>
          <w:r>
            <w:fldChar w:fldCharType="begin"/>
          </w:r>
          <w:r>
            <w:instrText>Hyperlink \l "_Toc223858439"</w:instrText>
          </w:r>
          <w:r>
            <w:fldChar w:fldCharType="separate"/>
          </w:r>
          <w:r>
            <w:t>第四节 加强“四廊多节点”协同能力</w:t>
            <w:tab/>
          </w:r>
          <w:r>
            <w:fldChar w:fldCharType="begin"/>
          </w:r>
          <w:r>
            <w:instrText xml:space="preserve"> PAGEREF _Toc223858439 \h </w:instrText>
          </w:r>
          <w:r>
            <w:fldChar w:fldCharType="separate"/>
          </w:r>
          <w:r>
            <w:t>33</w:t>
          </w:r>
          <w:r>
            <w:fldChar w:fldCharType="end"/>
          </w:r>
          <w:r>
            <w:fldChar w:fldCharType="end"/>
          </w:r>
        </w:p>
        <w:p>
          <w:pPr>
            <w:pStyle w:val="29"/>
            <w:tabs>
              <w:tab w:val="right" w:leader="dot" w:pos="8789"/>
              <w:tab w:val="right" w:leader="dot" w:pos="8834"/>
            </w:tabs>
            <w:rPr>
              <w:rFonts w:ascii="等线" w:eastAsia="等线" w:cs="Arial"/>
              <w:szCs w:val="22"/>
            </w:rPr>
          </w:pPr>
          <w:r>
            <w:fldChar w:fldCharType="begin"/>
          </w:r>
          <w:r>
            <w:instrText>Hyperlink \l "_Toc223858440"</w:instrText>
          </w:r>
          <w:r>
            <w:fldChar w:fldCharType="separate"/>
          </w:r>
          <w:r>
            <w:t>第五节 完善空间布局结构</w:t>
            <w:tab/>
          </w:r>
          <w:r>
            <w:fldChar w:fldCharType="begin"/>
          </w:r>
          <w:r>
            <w:instrText xml:space="preserve"> PAGEREF _Toc223858440 \h </w:instrText>
          </w:r>
          <w:r>
            <w:fldChar w:fldCharType="separate"/>
          </w:r>
          <w:r>
            <w:t>34</w:t>
          </w:r>
          <w:r>
            <w:fldChar w:fldCharType="end"/>
          </w:r>
          <w:r>
            <w:fldChar w:fldCharType="end"/>
          </w:r>
        </w:p>
        <w:p>
          <w:pPr>
            <w:pStyle w:val="26"/>
            <w:tabs>
              <w:tab w:val="clear" w:pos="8296"/>
              <w:tab w:val="right" w:leader="dot" w:pos="8789"/>
            </w:tabs>
            <w:spacing w:line="360" w:lineRule="auto"/>
            <w:rPr>
              <w:rFonts w:ascii="等线" w:eastAsia="等线" w:cs="Arial"/>
              <w:b w:val="0"/>
              <w:bCs w:val="0"/>
              <w:szCs w:val="22"/>
            </w:rPr>
          </w:pPr>
          <w:r>
            <w:fldChar w:fldCharType="begin"/>
          </w:r>
          <w:r>
            <w:instrText>Hyperlink \l "_Toc223858441"</w:instrText>
          </w:r>
          <w:r>
            <w:fldChar w:fldCharType="separate"/>
          </w:r>
          <w:r>
            <w:t>第九章 凝心聚力，深化城乡融合发展</w:t>
            <w:tab/>
          </w:r>
          <w:r>
            <w:fldChar w:fldCharType="begin"/>
          </w:r>
          <w:r>
            <w:instrText xml:space="preserve"> PAGEREF _Toc223858441 \h </w:instrText>
          </w:r>
          <w:r>
            <w:fldChar w:fldCharType="separate"/>
          </w:r>
          <w:r>
            <w:t>35</w:t>
          </w:r>
          <w:r>
            <w:fldChar w:fldCharType="end"/>
          </w:r>
          <w:r>
            <w:fldChar w:fldCharType="end"/>
          </w:r>
        </w:p>
        <w:p>
          <w:pPr>
            <w:pStyle w:val="29"/>
            <w:tabs>
              <w:tab w:val="right" w:leader="dot" w:pos="8789"/>
              <w:tab w:val="right" w:leader="dot" w:pos="8834"/>
            </w:tabs>
            <w:rPr>
              <w:rFonts w:ascii="等线" w:eastAsia="等线" w:cs="Arial"/>
              <w:szCs w:val="22"/>
            </w:rPr>
          </w:pPr>
          <w:r>
            <w:fldChar w:fldCharType="begin"/>
          </w:r>
          <w:r>
            <w:instrText>Hyperlink \l "_Toc223858442"</w:instrText>
          </w:r>
          <w:r>
            <w:fldChar w:fldCharType="separate"/>
          </w:r>
          <w:r>
            <w:t>第一节 增强县城核心区综合承载力</w:t>
            <w:tab/>
          </w:r>
          <w:r>
            <w:fldChar w:fldCharType="begin"/>
          </w:r>
          <w:r>
            <w:instrText xml:space="preserve"> PAGEREF _Toc223858442 \h </w:instrText>
          </w:r>
          <w:r>
            <w:fldChar w:fldCharType="separate"/>
          </w:r>
          <w:r>
            <w:t>35</w:t>
          </w:r>
          <w:r>
            <w:fldChar w:fldCharType="end"/>
          </w:r>
          <w:r>
            <w:fldChar w:fldCharType="end"/>
          </w:r>
        </w:p>
        <w:p>
          <w:pPr>
            <w:pStyle w:val="29"/>
            <w:tabs>
              <w:tab w:val="right" w:leader="dot" w:pos="8789"/>
              <w:tab w:val="right" w:leader="dot" w:pos="8834"/>
            </w:tabs>
            <w:rPr>
              <w:rFonts w:ascii="等线" w:eastAsia="等线" w:cs="Arial"/>
              <w:szCs w:val="22"/>
            </w:rPr>
          </w:pPr>
          <w:r>
            <w:fldChar w:fldCharType="begin"/>
          </w:r>
          <w:r>
            <w:instrText>Hyperlink \l "_Toc223858443"</w:instrText>
          </w:r>
          <w:r>
            <w:fldChar w:fldCharType="separate"/>
          </w:r>
          <w:r>
            <w:t>第二节 加快推进城乡融合发展</w:t>
            <w:tab/>
          </w:r>
          <w:r>
            <w:fldChar w:fldCharType="begin"/>
          </w:r>
          <w:r>
            <w:instrText xml:space="preserve"> PAGEREF _Toc223858443 \h </w:instrText>
          </w:r>
          <w:r>
            <w:fldChar w:fldCharType="separate"/>
          </w:r>
          <w:r>
            <w:t>35</w:t>
          </w:r>
          <w:r>
            <w:fldChar w:fldCharType="end"/>
          </w:r>
          <w:r>
            <w:fldChar w:fldCharType="end"/>
          </w:r>
        </w:p>
        <w:p>
          <w:pPr>
            <w:pStyle w:val="29"/>
            <w:tabs>
              <w:tab w:val="right" w:leader="dot" w:pos="8789"/>
              <w:tab w:val="right" w:leader="dot" w:pos="8834"/>
            </w:tabs>
            <w:rPr>
              <w:rFonts w:ascii="等线" w:eastAsia="等线" w:cs="Arial"/>
              <w:szCs w:val="22"/>
            </w:rPr>
          </w:pPr>
          <w:r>
            <w:fldChar w:fldCharType="begin"/>
          </w:r>
          <w:r>
            <w:instrText>Hyperlink \l "_Toc223858444"</w:instrText>
          </w:r>
          <w:r>
            <w:fldChar w:fldCharType="separate"/>
          </w:r>
          <w:r>
            <w:t>第三节 建设高原宜居宜业和美乡村</w:t>
            <w:tab/>
          </w:r>
          <w:r>
            <w:fldChar w:fldCharType="begin"/>
          </w:r>
          <w:r>
            <w:instrText xml:space="preserve"> PAGEREF _Toc223858444 \h </w:instrText>
          </w:r>
          <w:r>
            <w:fldChar w:fldCharType="separate"/>
          </w:r>
          <w:r>
            <w:t>37</w:t>
          </w:r>
          <w:r>
            <w:fldChar w:fldCharType="end"/>
          </w:r>
          <w:r>
            <w:fldChar w:fldCharType="end"/>
          </w:r>
        </w:p>
        <w:p>
          <w:pPr>
            <w:pStyle w:val="26"/>
            <w:tabs>
              <w:tab w:val="clear" w:pos="8296"/>
              <w:tab w:val="right" w:leader="dot" w:pos="8789"/>
            </w:tabs>
            <w:spacing w:line="360" w:lineRule="auto"/>
            <w:rPr>
              <w:rFonts w:ascii="等线" w:eastAsia="等线" w:cs="Arial"/>
              <w:b w:val="0"/>
              <w:bCs w:val="0"/>
              <w:szCs w:val="22"/>
            </w:rPr>
          </w:pPr>
          <w:r>
            <w:fldChar w:fldCharType="begin"/>
          </w:r>
          <w:r>
            <w:instrText>Hyperlink \l "_Toc223858445"</w:instrText>
          </w:r>
          <w:r>
            <w:fldChar w:fldCharType="separate"/>
          </w:r>
          <w:r>
            <w:t>第十章 惠民利民，推动社会事业进步</w:t>
            <w:tab/>
          </w:r>
          <w:r>
            <w:fldChar w:fldCharType="begin"/>
          </w:r>
          <w:r>
            <w:instrText xml:space="preserve"> PAGEREF _Toc223858445 \h </w:instrText>
          </w:r>
          <w:r>
            <w:fldChar w:fldCharType="separate"/>
          </w:r>
          <w:r>
            <w:t>38</w:t>
          </w:r>
          <w:r>
            <w:fldChar w:fldCharType="end"/>
          </w:r>
          <w:r>
            <w:fldChar w:fldCharType="end"/>
          </w:r>
        </w:p>
        <w:p>
          <w:pPr>
            <w:pStyle w:val="29"/>
            <w:tabs>
              <w:tab w:val="right" w:leader="dot" w:pos="8789"/>
              <w:tab w:val="right" w:leader="dot" w:pos="8834"/>
            </w:tabs>
            <w:rPr>
              <w:rFonts w:ascii="等线" w:eastAsia="等线" w:cs="Arial"/>
              <w:szCs w:val="22"/>
            </w:rPr>
          </w:pPr>
          <w:r>
            <w:fldChar w:fldCharType="begin"/>
          </w:r>
          <w:r>
            <w:instrText>Hyperlink \l "_Toc223858446"</w:instrText>
          </w:r>
          <w:r>
            <w:fldChar w:fldCharType="separate"/>
          </w:r>
          <w:r>
            <w:t>第一节 多措并举促进高质量就业</w:t>
            <w:tab/>
          </w:r>
          <w:r>
            <w:fldChar w:fldCharType="begin"/>
          </w:r>
          <w:r>
            <w:instrText xml:space="preserve"> PAGEREF _Toc223858446 \h </w:instrText>
          </w:r>
          <w:r>
            <w:fldChar w:fldCharType="separate"/>
          </w:r>
          <w:r>
            <w:t>38</w:t>
          </w:r>
          <w:r>
            <w:fldChar w:fldCharType="end"/>
          </w:r>
          <w:r>
            <w:fldChar w:fldCharType="end"/>
          </w:r>
        </w:p>
        <w:p>
          <w:pPr>
            <w:pStyle w:val="29"/>
            <w:tabs>
              <w:tab w:val="right" w:leader="dot" w:pos="8789"/>
              <w:tab w:val="right" w:leader="dot" w:pos="8834"/>
            </w:tabs>
            <w:rPr>
              <w:rFonts w:ascii="等线" w:eastAsia="等线" w:cs="Arial"/>
              <w:szCs w:val="22"/>
            </w:rPr>
          </w:pPr>
          <w:r>
            <w:fldChar w:fldCharType="begin"/>
          </w:r>
          <w:r>
            <w:instrText>Hyperlink \l "_Toc223858447"</w:instrText>
          </w:r>
          <w:r>
            <w:fldChar w:fldCharType="separate"/>
          </w:r>
          <w:r>
            <w:t>第二节 推动教育体育事业发展</w:t>
            <w:tab/>
          </w:r>
          <w:r>
            <w:fldChar w:fldCharType="begin"/>
          </w:r>
          <w:r>
            <w:instrText xml:space="preserve"> PAGEREF _Toc223858447 \h </w:instrText>
          </w:r>
          <w:r>
            <w:fldChar w:fldCharType="separate"/>
          </w:r>
          <w:r>
            <w:t>38</w:t>
          </w:r>
          <w:r>
            <w:fldChar w:fldCharType="end"/>
          </w:r>
          <w:r>
            <w:fldChar w:fldCharType="end"/>
          </w:r>
        </w:p>
        <w:p>
          <w:pPr>
            <w:pStyle w:val="29"/>
            <w:tabs>
              <w:tab w:val="right" w:leader="dot" w:pos="8789"/>
              <w:tab w:val="right" w:leader="dot" w:pos="8834"/>
            </w:tabs>
            <w:rPr>
              <w:rFonts w:ascii="等线" w:eastAsia="等线" w:cs="Arial"/>
              <w:szCs w:val="22"/>
            </w:rPr>
          </w:pPr>
          <w:r>
            <w:fldChar w:fldCharType="begin"/>
          </w:r>
          <w:r>
            <w:instrText>Hyperlink \l "_Toc223858448"</w:instrText>
          </w:r>
          <w:r>
            <w:fldChar w:fldCharType="separate"/>
          </w:r>
          <w:r>
            <w:t>第三节 推进健康波密建设</w:t>
            <w:tab/>
          </w:r>
          <w:r>
            <w:fldChar w:fldCharType="begin"/>
          </w:r>
          <w:r>
            <w:instrText xml:space="preserve"> PAGEREF _Toc223858448 \h </w:instrText>
          </w:r>
          <w:r>
            <w:fldChar w:fldCharType="separate"/>
          </w:r>
          <w:r>
            <w:t>39</w:t>
          </w:r>
          <w:r>
            <w:fldChar w:fldCharType="end"/>
          </w:r>
          <w:r>
            <w:fldChar w:fldCharType="end"/>
          </w:r>
        </w:p>
        <w:p>
          <w:pPr>
            <w:pStyle w:val="29"/>
            <w:tabs>
              <w:tab w:val="right" w:leader="dot" w:pos="8789"/>
              <w:tab w:val="right" w:leader="dot" w:pos="8834"/>
            </w:tabs>
            <w:rPr>
              <w:rFonts w:ascii="等线" w:eastAsia="等线" w:cs="Arial"/>
              <w:szCs w:val="22"/>
            </w:rPr>
          </w:pPr>
          <w:r>
            <w:fldChar w:fldCharType="begin"/>
          </w:r>
          <w:r>
            <w:instrText>Hyperlink \l "_Toc223858449"</w:instrText>
          </w:r>
          <w:r>
            <w:fldChar w:fldCharType="separate"/>
          </w:r>
          <w:r>
            <w:t>第四节 推动人口可持续发展</w:t>
            <w:tab/>
          </w:r>
          <w:r>
            <w:fldChar w:fldCharType="begin"/>
          </w:r>
          <w:r>
            <w:instrText xml:space="preserve"> PAGEREF _Toc223858449 \h </w:instrText>
          </w:r>
          <w:r>
            <w:fldChar w:fldCharType="separate"/>
          </w:r>
          <w:r>
            <w:t>40</w:t>
          </w:r>
          <w:r>
            <w:fldChar w:fldCharType="end"/>
          </w:r>
          <w:r>
            <w:fldChar w:fldCharType="end"/>
          </w:r>
        </w:p>
        <w:p>
          <w:pPr>
            <w:pStyle w:val="29"/>
            <w:tabs>
              <w:tab w:val="right" w:leader="dot" w:pos="8789"/>
              <w:tab w:val="right" w:leader="dot" w:pos="8834"/>
            </w:tabs>
            <w:rPr>
              <w:rFonts w:ascii="等线" w:eastAsia="等线" w:cs="Arial"/>
              <w:szCs w:val="22"/>
            </w:rPr>
          </w:pPr>
          <w:r>
            <w:fldChar w:fldCharType="begin"/>
          </w:r>
          <w:r>
            <w:instrText>Hyperlink \l "_Toc223858450"</w:instrText>
          </w:r>
          <w:r>
            <w:fldChar w:fldCharType="separate"/>
          </w:r>
          <w:r>
            <w:t>第五节 健全多层次社会保障体系</w:t>
            <w:tab/>
          </w:r>
          <w:r>
            <w:fldChar w:fldCharType="begin"/>
          </w:r>
          <w:r>
            <w:instrText xml:space="preserve"> PAGEREF _Toc223858450 \h </w:instrText>
          </w:r>
          <w:r>
            <w:fldChar w:fldCharType="separate"/>
          </w:r>
          <w:r>
            <w:t>40</w:t>
          </w:r>
          <w:r>
            <w:fldChar w:fldCharType="end"/>
          </w:r>
          <w:r>
            <w:fldChar w:fldCharType="end"/>
          </w:r>
        </w:p>
        <w:p>
          <w:pPr>
            <w:pStyle w:val="29"/>
            <w:tabs>
              <w:tab w:val="right" w:leader="dot" w:pos="8789"/>
              <w:tab w:val="right" w:leader="dot" w:pos="8834"/>
            </w:tabs>
            <w:rPr>
              <w:rFonts w:ascii="等线" w:eastAsia="等线" w:cs="Arial"/>
              <w:szCs w:val="22"/>
            </w:rPr>
          </w:pPr>
          <w:r>
            <w:fldChar w:fldCharType="begin"/>
          </w:r>
          <w:r>
            <w:instrText>Hyperlink \l "_Toc223858451"</w:instrText>
          </w:r>
          <w:r>
            <w:fldChar w:fldCharType="separate"/>
          </w:r>
          <w:r>
            <w:t>第六节 推动文化事业繁荣发展</w:t>
            <w:tab/>
          </w:r>
          <w:r>
            <w:fldChar w:fldCharType="begin"/>
          </w:r>
          <w:r>
            <w:instrText xml:space="preserve"> PAGEREF _Toc223858451 \h </w:instrText>
          </w:r>
          <w:r>
            <w:fldChar w:fldCharType="separate"/>
          </w:r>
          <w:r>
            <w:t>42</w:t>
          </w:r>
          <w:r>
            <w:fldChar w:fldCharType="end"/>
          </w:r>
          <w:r>
            <w:fldChar w:fldCharType="end"/>
          </w:r>
        </w:p>
        <w:p>
          <w:pPr>
            <w:pStyle w:val="26"/>
            <w:tabs>
              <w:tab w:val="clear" w:pos="8296"/>
              <w:tab w:val="right" w:leader="dot" w:pos="8789"/>
            </w:tabs>
            <w:spacing w:line="360" w:lineRule="auto"/>
            <w:rPr>
              <w:rFonts w:ascii="等线" w:eastAsia="等线" w:cs="Arial"/>
              <w:b w:val="0"/>
              <w:bCs w:val="0"/>
              <w:szCs w:val="22"/>
            </w:rPr>
          </w:pPr>
          <w:r>
            <w:fldChar w:fldCharType="begin"/>
          </w:r>
          <w:r>
            <w:instrText>Hyperlink \l "_Toc223858452"</w:instrText>
          </w:r>
          <w:r>
            <w:fldChar w:fldCharType="separate"/>
          </w:r>
          <w:r>
            <w:t>第十一章 系统治理，守牢生态安全底线</w:t>
            <w:tab/>
          </w:r>
          <w:r>
            <w:fldChar w:fldCharType="begin"/>
          </w:r>
          <w:r>
            <w:instrText xml:space="preserve"> PAGEREF _Toc223858452 \h </w:instrText>
          </w:r>
          <w:r>
            <w:fldChar w:fldCharType="separate"/>
          </w:r>
          <w:r>
            <w:t>43</w:t>
          </w:r>
          <w:r>
            <w:fldChar w:fldCharType="end"/>
          </w:r>
          <w:r>
            <w:fldChar w:fldCharType="end"/>
          </w:r>
        </w:p>
        <w:p>
          <w:pPr>
            <w:pStyle w:val="29"/>
            <w:tabs>
              <w:tab w:val="right" w:leader="dot" w:pos="8789"/>
              <w:tab w:val="right" w:leader="dot" w:pos="8834"/>
            </w:tabs>
            <w:rPr>
              <w:rFonts w:ascii="等线" w:eastAsia="等线" w:cs="Arial"/>
              <w:szCs w:val="22"/>
            </w:rPr>
          </w:pPr>
          <w:r>
            <w:fldChar w:fldCharType="begin"/>
          </w:r>
          <w:r>
            <w:instrText>Hyperlink \l "_Toc223858453"</w:instrText>
          </w:r>
          <w:r>
            <w:fldChar w:fldCharType="separate"/>
          </w:r>
          <w:r>
            <w:t>第一节 完善生态文明制度保障体系</w:t>
            <w:tab/>
          </w:r>
          <w:r>
            <w:fldChar w:fldCharType="begin"/>
          </w:r>
          <w:r>
            <w:instrText xml:space="preserve"> PAGEREF _Toc223858453 \h </w:instrText>
          </w:r>
          <w:r>
            <w:fldChar w:fldCharType="separate"/>
          </w:r>
          <w:r>
            <w:t>43</w:t>
          </w:r>
          <w:r>
            <w:fldChar w:fldCharType="end"/>
          </w:r>
          <w:r>
            <w:fldChar w:fldCharType="end"/>
          </w:r>
        </w:p>
        <w:p>
          <w:pPr>
            <w:pStyle w:val="29"/>
            <w:tabs>
              <w:tab w:val="right" w:leader="dot" w:pos="8789"/>
              <w:tab w:val="right" w:leader="dot" w:pos="8834"/>
            </w:tabs>
            <w:rPr>
              <w:rFonts w:ascii="等线" w:eastAsia="等线" w:cs="Arial"/>
              <w:szCs w:val="22"/>
            </w:rPr>
          </w:pPr>
          <w:r>
            <w:fldChar w:fldCharType="begin"/>
          </w:r>
          <w:r>
            <w:instrText>Hyperlink \l "_Toc223858454"</w:instrText>
          </w:r>
          <w:r>
            <w:fldChar w:fldCharType="separate"/>
          </w:r>
          <w:r>
            <w:t>第二节 加强环境综合治理</w:t>
            <w:tab/>
          </w:r>
          <w:r>
            <w:fldChar w:fldCharType="begin"/>
          </w:r>
          <w:r>
            <w:instrText xml:space="preserve"> PAGEREF _Toc223858454 \h </w:instrText>
          </w:r>
          <w:r>
            <w:fldChar w:fldCharType="separate"/>
          </w:r>
          <w:r>
            <w:t>43</w:t>
          </w:r>
          <w:r>
            <w:fldChar w:fldCharType="end"/>
          </w:r>
          <w:r>
            <w:fldChar w:fldCharType="end"/>
          </w:r>
        </w:p>
        <w:p>
          <w:pPr>
            <w:pStyle w:val="29"/>
            <w:tabs>
              <w:tab w:val="right" w:leader="dot" w:pos="8789"/>
              <w:tab w:val="right" w:leader="dot" w:pos="8834"/>
            </w:tabs>
            <w:rPr>
              <w:rFonts w:ascii="等线" w:eastAsia="等线" w:cs="Arial"/>
              <w:szCs w:val="22"/>
            </w:rPr>
          </w:pPr>
          <w:r>
            <w:fldChar w:fldCharType="begin"/>
          </w:r>
          <w:r>
            <w:instrText>Hyperlink \l "_Toc223858455"</w:instrText>
          </w:r>
          <w:r>
            <w:fldChar w:fldCharType="separate"/>
          </w:r>
          <w:r>
            <w:t>第三节 统筹自然资源保护与生态治理</w:t>
            <w:tab/>
          </w:r>
          <w:r>
            <w:fldChar w:fldCharType="begin"/>
          </w:r>
          <w:r>
            <w:instrText xml:space="preserve"> PAGEREF _Toc223858455 \h </w:instrText>
          </w:r>
          <w:r>
            <w:fldChar w:fldCharType="separate"/>
          </w:r>
          <w:r>
            <w:t>44</w:t>
          </w:r>
          <w:r>
            <w:fldChar w:fldCharType="end"/>
          </w:r>
          <w:r>
            <w:fldChar w:fldCharType="end"/>
          </w:r>
        </w:p>
        <w:p>
          <w:pPr>
            <w:pStyle w:val="29"/>
            <w:tabs>
              <w:tab w:val="right" w:leader="dot" w:pos="8789"/>
              <w:tab w:val="right" w:leader="dot" w:pos="8834"/>
            </w:tabs>
            <w:rPr>
              <w:rFonts w:ascii="等线" w:eastAsia="等线" w:cs="Arial"/>
              <w:szCs w:val="22"/>
            </w:rPr>
          </w:pPr>
          <w:r>
            <w:fldChar w:fldCharType="begin"/>
          </w:r>
          <w:r>
            <w:instrText>Hyperlink \l "_Toc223858456"</w:instrText>
          </w:r>
          <w:r>
            <w:fldChar w:fldCharType="separate"/>
          </w:r>
          <w:r>
            <w:t>第四节 推动绿色低碳发展</w:t>
            <w:tab/>
          </w:r>
          <w:r>
            <w:fldChar w:fldCharType="begin"/>
          </w:r>
          <w:r>
            <w:instrText xml:space="preserve"> PAGEREF _Toc223858456 \h </w:instrText>
          </w:r>
          <w:r>
            <w:fldChar w:fldCharType="separate"/>
          </w:r>
          <w:r>
            <w:t>45</w:t>
          </w:r>
          <w:r>
            <w:fldChar w:fldCharType="end"/>
          </w:r>
          <w:r>
            <w:fldChar w:fldCharType="end"/>
          </w:r>
        </w:p>
        <w:p>
          <w:pPr>
            <w:pStyle w:val="26"/>
            <w:tabs>
              <w:tab w:val="clear" w:pos="8296"/>
              <w:tab w:val="right" w:leader="dot" w:pos="8789"/>
            </w:tabs>
            <w:spacing w:line="360" w:lineRule="auto"/>
            <w:rPr>
              <w:rFonts w:ascii="等线" w:eastAsia="等线" w:cs="Arial"/>
              <w:b w:val="0"/>
              <w:bCs w:val="0"/>
              <w:szCs w:val="22"/>
            </w:rPr>
          </w:pPr>
          <w:r>
            <w:fldChar w:fldCharType="begin"/>
          </w:r>
          <w:r>
            <w:instrText>Hyperlink \l "_Toc223858457"</w:instrText>
          </w:r>
          <w:r>
            <w:fldChar w:fldCharType="separate"/>
          </w:r>
          <w:r>
            <w:t>第十二章 凝心铸魂，强化规划实施保障</w:t>
            <w:tab/>
          </w:r>
          <w:r>
            <w:fldChar w:fldCharType="begin"/>
          </w:r>
          <w:r>
            <w:instrText xml:space="preserve"> PAGEREF _Toc223858457 \h </w:instrText>
          </w:r>
          <w:r>
            <w:fldChar w:fldCharType="separate"/>
          </w:r>
          <w:r>
            <w:t>47</w:t>
          </w:r>
          <w:r>
            <w:fldChar w:fldCharType="end"/>
          </w:r>
          <w:r>
            <w:fldChar w:fldCharType="end"/>
          </w:r>
        </w:p>
        <w:p>
          <w:pPr>
            <w:pStyle w:val="29"/>
            <w:tabs>
              <w:tab w:val="right" w:leader="dot" w:pos="8789"/>
              <w:tab w:val="right" w:leader="dot" w:pos="8834"/>
            </w:tabs>
            <w:rPr>
              <w:rFonts w:ascii="等线" w:eastAsia="等线" w:cs="Arial"/>
              <w:szCs w:val="22"/>
            </w:rPr>
          </w:pPr>
          <w:r>
            <w:fldChar w:fldCharType="begin"/>
          </w:r>
          <w:r>
            <w:instrText>Hyperlink \l "_Toc223858458"</w:instrText>
          </w:r>
          <w:r>
            <w:fldChar w:fldCharType="separate"/>
          </w:r>
          <w:r>
            <w:t>第一节 坚持党的核心领导地位</w:t>
            <w:tab/>
          </w:r>
          <w:r>
            <w:fldChar w:fldCharType="begin"/>
          </w:r>
          <w:r>
            <w:instrText xml:space="preserve"> PAGEREF _Toc223858458 \h </w:instrText>
          </w:r>
          <w:r>
            <w:fldChar w:fldCharType="separate"/>
          </w:r>
          <w:r>
            <w:t>47</w:t>
          </w:r>
          <w:r>
            <w:fldChar w:fldCharType="end"/>
          </w:r>
          <w:r>
            <w:fldChar w:fldCharType="end"/>
          </w:r>
        </w:p>
        <w:p>
          <w:pPr>
            <w:pStyle w:val="29"/>
            <w:tabs>
              <w:tab w:val="right" w:leader="dot" w:pos="8789"/>
              <w:tab w:val="right" w:leader="dot" w:pos="8834"/>
            </w:tabs>
            <w:rPr>
              <w:rFonts w:ascii="等线" w:eastAsia="等线" w:cs="Arial"/>
              <w:szCs w:val="22"/>
            </w:rPr>
          </w:pPr>
          <w:r>
            <w:fldChar w:fldCharType="begin"/>
          </w:r>
          <w:r>
            <w:instrText>Hyperlink \l "_Toc223858459"</w:instrText>
          </w:r>
          <w:r>
            <w:fldChar w:fldCharType="separate"/>
          </w:r>
          <w:r>
            <w:t>第二节 加强党的组织建设</w:t>
            <w:tab/>
          </w:r>
          <w:r>
            <w:fldChar w:fldCharType="begin"/>
          </w:r>
          <w:r>
            <w:instrText xml:space="preserve"> PAGEREF _Toc223858459 \h </w:instrText>
          </w:r>
          <w:r>
            <w:fldChar w:fldCharType="separate"/>
          </w:r>
          <w:r>
            <w:t>47</w:t>
          </w:r>
          <w:r>
            <w:fldChar w:fldCharType="end"/>
          </w:r>
          <w:r>
            <w:fldChar w:fldCharType="end"/>
          </w:r>
        </w:p>
        <w:p>
          <w:pPr>
            <w:pStyle w:val="29"/>
            <w:tabs>
              <w:tab w:val="right" w:leader="dot" w:pos="8789"/>
              <w:tab w:val="right" w:leader="dot" w:pos="8834"/>
            </w:tabs>
            <w:rPr>
              <w:rFonts w:ascii="等线" w:eastAsia="等线" w:cs="Arial"/>
              <w:szCs w:val="22"/>
            </w:rPr>
          </w:pPr>
          <w:r>
            <w:fldChar w:fldCharType="begin"/>
          </w:r>
          <w:r>
            <w:instrText>Hyperlink \l "_Toc223858460"</w:instrText>
          </w:r>
          <w:r>
            <w:fldChar w:fldCharType="separate"/>
          </w:r>
          <w:r>
            <w:t>第三节 加强各类规划衔接协调</w:t>
            <w:tab/>
          </w:r>
          <w:r>
            <w:fldChar w:fldCharType="begin"/>
          </w:r>
          <w:r>
            <w:instrText xml:space="preserve"> PAGEREF _Toc223858460 \h </w:instrText>
          </w:r>
          <w:r>
            <w:fldChar w:fldCharType="separate"/>
          </w:r>
          <w:r>
            <w:t>47</w:t>
          </w:r>
          <w:r>
            <w:fldChar w:fldCharType="end"/>
          </w:r>
          <w:r>
            <w:fldChar w:fldCharType="end"/>
          </w:r>
        </w:p>
        <w:p>
          <w:pPr>
            <w:pStyle w:val="29"/>
            <w:tabs>
              <w:tab w:val="right" w:leader="dot" w:pos="8789"/>
              <w:tab w:val="right" w:leader="dot" w:pos="8834"/>
            </w:tabs>
            <w:rPr>
              <w:rFonts w:ascii="等线" w:eastAsia="等线" w:cs="Arial"/>
              <w:szCs w:val="22"/>
            </w:rPr>
          </w:pPr>
          <w:r>
            <w:fldChar w:fldCharType="begin"/>
          </w:r>
          <w:r>
            <w:instrText>Hyperlink \l "_Toc223858461"</w:instrText>
          </w:r>
          <w:r>
            <w:fldChar w:fldCharType="separate"/>
          </w:r>
          <w:r>
            <w:t>第四节 健全规划编制执行机制</w:t>
            <w:tab/>
          </w:r>
          <w:r>
            <w:fldChar w:fldCharType="begin"/>
          </w:r>
          <w:r>
            <w:instrText xml:space="preserve"> PAGEREF _Toc223858461 \h </w:instrText>
          </w:r>
          <w:r>
            <w:fldChar w:fldCharType="separate"/>
          </w:r>
          <w:r>
            <w:t>48</w:t>
          </w:r>
          <w:r>
            <w:fldChar w:fldCharType="end"/>
          </w:r>
          <w:r>
            <w:fldChar w:fldCharType="end"/>
          </w:r>
        </w:p>
        <w:p>
          <w:pPr>
            <w:pStyle w:val="29"/>
            <w:tabs>
              <w:tab w:val="right" w:leader="dot" w:pos="8789"/>
              <w:tab w:val="right" w:leader="dot" w:pos="8834"/>
            </w:tabs>
            <w:rPr>
              <w:rFonts w:ascii="等线" w:eastAsia="等线" w:cs="Arial"/>
              <w:szCs w:val="22"/>
            </w:rPr>
          </w:pPr>
          <w:r>
            <w:fldChar w:fldCharType="begin"/>
          </w:r>
          <w:r>
            <w:instrText>Hyperlink \l "_Toc223858462"</w:instrText>
          </w:r>
          <w:r>
            <w:fldChar w:fldCharType="separate"/>
          </w:r>
          <w:r>
            <w:rPr>
              <w:rFonts w:eastAsia="方正黑体_GBK"/>
            </w:rPr>
            <w:t>主要名词解释</w:t>
          </w:r>
          <w:r>
            <w:tab/>
          </w:r>
          <w:r>
            <w:fldChar w:fldCharType="begin"/>
          </w:r>
          <w:r>
            <w:instrText xml:space="preserve"> PAGEREF _Toc223858462 \h </w:instrText>
          </w:r>
          <w:r>
            <w:fldChar w:fldCharType="separate"/>
          </w:r>
          <w:r>
            <w:t>50</w:t>
          </w:r>
          <w:r>
            <w:fldChar w:fldCharType="end"/>
          </w:r>
          <w:r>
            <w:fldChar w:fldCharType="end"/>
          </w:r>
        </w:p>
        <w:p>
          <w:pPr>
            <w:tabs>
              <w:tab w:val="right" w:leader="dot" w:pos="8647"/>
              <w:tab w:val="right" w:leader="dot" w:pos="8789"/>
            </w:tabs>
          </w:pPr>
          <w:r>
            <w:fldChar w:fldCharType="end"/>
          </w:r>
        </w:p>
      </w:sdtContent>
    </w:sdt>
    <w:p>
      <w:pPr>
        <w:ind w:left="560" w:firstLineChars="0" w:firstLine="0"/>
      </w:pPr>
      <w:bookmarkEnd w:id="1"/>
    </w:p>
    <w:p>
      <w:pPr>
        <w:ind w:left="560" w:firstLineChars="0" w:firstLine="0"/>
      </w:pPr>
      <w:r>
        <w:br w:type="page"/>
      </w:r>
    </w:p>
    <w:p>
      <w:pPr>
        <w:ind w:left="560" w:firstLineChars="0" w:firstLine="0"/>
        <w:sectPr>
          <w:headerReference w:type="default" r:id="rId2"/>
          <w:headerReference w:type="even" r:id="rId3"/>
          <w:headerReference w:type="first" r:id="rId4"/>
          <w:footerReference w:type="default" r:id="rId5"/>
          <w:footerReference w:type="even" r:id="rId6"/>
          <w:footerReference w:type="first" r:id="rId7"/>
          <w:pgSz w:w="11906" w:h="16838"/>
          <w:pgMar w:top="1440" w:right="1474" w:bottom="1440" w:left="1588" w:header="851" w:footer="992" w:gutter="0"/>
          <w:cols w:num="1" w:space="425"/>
          <w:docGrid w:type="lines" w:linePitch="312" w:charSpace="0"/>
        </w:sectPr>
      </w:pPr>
    </w:p>
    <w:p>
      <w:pPr>
        <w:pStyle w:val="1"/>
        <w:spacing w:after="190" w:line="576" w:lineRule="exact"/>
        <w:ind w:firstLineChars="62" w:firstLine="174"/>
      </w:pPr>
      <w:bookmarkStart w:id="2" w:name="_Toc218406219"/>
      <w:bookmarkStart w:id="3" w:name="_Toc223858402"/>
      <w:r>
        <w:t>第一章 发展基础与发展环境</w:t>
      </w:r>
      <w:bookmarkEnd w:id="2"/>
      <w:bookmarkEnd w:id="3"/>
    </w:p>
    <w:p>
      <w:pPr>
        <w:pStyle w:val="2"/>
        <w:spacing w:after="190" w:line="576" w:lineRule="exact"/>
      </w:pPr>
      <w:bookmarkStart w:id="4" w:name="_Toc218406220"/>
      <w:bookmarkStart w:id="5" w:name="_Toc223858403"/>
      <w:r>
        <w:t>第一节 发展基础</w:t>
      </w:r>
      <w:bookmarkEnd w:id="4"/>
      <w:bookmarkEnd w:id="5"/>
    </w:p>
    <w:p>
      <w:pPr>
        <w:rPr>
          <w:szCs w:val="32"/>
        </w:rPr>
      </w:pPr>
      <w:bookmarkStart w:id="6" w:name="_Hlk48422923"/>
      <w:r>
        <w:rPr>
          <w:szCs w:val="32"/>
        </w:rPr>
        <w:t>“十四五”以来，</w:t>
      </w:r>
      <w:bookmarkStart w:id="7" w:name="OLE_LINK23"/>
      <w:r>
        <w:rPr>
          <w:szCs w:val="32"/>
        </w:rPr>
        <w:t>在党中央、国务院的亲切关怀下，</w:t>
      </w:r>
      <w:bookmarkEnd w:id="7"/>
      <w:r>
        <w:rPr>
          <w:szCs w:val="32"/>
        </w:rPr>
        <w:t>在自治区和林芝市委、政府的坚强领导下，</w:t>
      </w:r>
      <w:bookmarkStart w:id="8" w:name="OLE_LINK24"/>
      <w:r>
        <w:rPr>
          <w:szCs w:val="32"/>
        </w:rPr>
        <w:t>波密县委、县政府</w:t>
      </w:r>
      <w:bookmarkEnd w:id="8"/>
      <w:r>
        <w:rPr>
          <w:rFonts w:hint="eastAsia"/>
          <w:szCs w:val="32"/>
        </w:rPr>
        <w:t>团结带领全县各族人民，始终</w:t>
      </w:r>
      <w:r>
        <w:rPr>
          <w:szCs w:val="32"/>
        </w:rPr>
        <w:t>坚持</w:t>
      </w:r>
      <w:r>
        <w:rPr>
          <w:rFonts w:hint="eastAsia"/>
          <w:szCs w:val="32"/>
        </w:rPr>
        <w:t>以</w:t>
      </w:r>
      <w:r>
        <w:rPr>
          <w:szCs w:val="32"/>
        </w:rPr>
        <w:t>习近平新时代中国特色社会主义</w:t>
      </w:r>
      <w:r>
        <w:rPr>
          <w:rFonts w:hint="eastAsia"/>
          <w:szCs w:val="32"/>
        </w:rPr>
        <w:t>思想为指引</w:t>
      </w:r>
      <w:r>
        <w:rPr>
          <w:szCs w:val="32"/>
        </w:rPr>
        <w:t>，全面贯彻落实党的二十大和二十届</w:t>
      </w:r>
      <w:r>
        <w:rPr>
          <w:rFonts w:hint="eastAsia"/>
          <w:szCs w:val="32"/>
        </w:rPr>
        <w:t>历次</w:t>
      </w:r>
      <w:r>
        <w:rPr>
          <w:szCs w:val="32"/>
        </w:rPr>
        <w:t>全会、中央第七次西藏工作座谈会精神，用心领悟习近平总书记关于西藏工作的重要指示和新时代党的治藏方略，认真落实自治区第十次党代会、市第二次党代会精神，</w:t>
      </w:r>
      <w:r>
        <w:rPr>
          <w:rFonts w:hint="eastAsia"/>
          <w:szCs w:val="32"/>
        </w:rPr>
        <w:t>深入贯彻</w:t>
      </w:r>
      <w:r>
        <w:rPr>
          <w:szCs w:val="32"/>
        </w:rPr>
        <w:t>“三个赋予一个有利于”总要求，聚焦“四件大事”，聚力“四个创建”，</w:t>
      </w:r>
      <w:r>
        <w:rPr>
          <w:rFonts w:hint="eastAsia"/>
          <w:szCs w:val="32"/>
        </w:rPr>
        <w:t>深刻把握“两个确立”的决定性意义，增强“四个意识”、坚定“四个自信”、做到“两个维护”，</w:t>
      </w:r>
      <w:r>
        <w:rPr>
          <w:szCs w:val="32"/>
        </w:rPr>
        <w:t>紧盯“推动林芝高质量发展、促进改革开放先行”，瞄准林芝市“两地五区”</w:t>
      </w:r>
      <w:r>
        <w:rPr>
          <w:rFonts w:hint="eastAsia"/>
          <w:szCs w:val="32"/>
        </w:rPr>
        <w:t>总目标</w:t>
      </w:r>
      <w:r>
        <w:rPr>
          <w:szCs w:val="32"/>
        </w:rPr>
        <w:t>以及“11364”发展思路，抢抓机遇，迎难而上，全县社会稳定大局持续向好，经济基础不断夯实，产业结构逐渐优化，基础设施持续改善，人民生活水平稳步提升，社会事业全面进步，生态文明建设取得明显成效</w:t>
      </w:r>
      <w:r>
        <w:rPr>
          <w:rFonts w:hint="eastAsia"/>
          <w:szCs w:val="32"/>
        </w:rPr>
        <w:t>，</w:t>
      </w:r>
      <w:r>
        <w:rPr>
          <w:szCs w:val="32"/>
        </w:rPr>
        <w:t>走出了一条符合波密实际的高质量发展之路。</w:t>
      </w:r>
    </w:p>
    <w:p>
      <w:pPr>
        <w:adjustRightInd w:val="0"/>
        <w:snapToGrid w:val="0"/>
        <w:rPr>
          <w:szCs w:val="32"/>
        </w:rPr>
      </w:pPr>
      <w:r>
        <w:rPr>
          <w:rFonts w:eastAsia="楷体_GB2312"/>
          <w:b/>
          <w:bCs/>
          <w:szCs w:val="32"/>
        </w:rPr>
        <w:t>经济综合实力稳步增强。</w:t>
      </w:r>
      <w:r>
        <w:rPr>
          <w:rFonts w:hint="eastAsia"/>
          <w:szCs w:val="32"/>
        </w:rPr>
        <w:t>“十四五”期间，波密县</w:t>
      </w:r>
      <w:r>
        <w:rPr>
          <w:szCs w:val="32"/>
        </w:rPr>
        <w:t>地区生产总值由</w:t>
      </w:r>
      <w:r>
        <w:rPr>
          <w:rFonts w:hint="eastAsia"/>
          <w:szCs w:val="32"/>
        </w:rPr>
        <w:t>2</w:t>
      </w:r>
      <w:r>
        <w:rPr>
          <w:szCs w:val="32"/>
        </w:rPr>
        <w:t>3.7亿元增长</w:t>
      </w:r>
      <w:r>
        <w:rPr>
          <w:rFonts w:hint="eastAsia"/>
          <w:szCs w:val="32"/>
        </w:rPr>
        <w:t>到</w:t>
      </w:r>
      <w:r>
        <w:rPr>
          <w:szCs w:val="32"/>
        </w:rPr>
        <w:t>35.81亿元</w:t>
      </w:r>
      <w:r>
        <w:rPr>
          <w:rStyle w:val="50"/>
          <w:szCs w:val="32"/>
        </w:rPr>
        <w:footnoteReference w:id="2"/>
      </w:r>
      <w:r>
        <w:rPr>
          <w:rFonts w:hint="eastAsia"/>
          <w:szCs w:val="32"/>
        </w:rPr>
        <w:t>，年均增长</w:t>
      </w:r>
      <w:r>
        <w:rPr>
          <w:szCs w:val="32"/>
        </w:rPr>
        <w:t>8.6</w:t>
      </w:r>
      <w:r>
        <w:rPr>
          <w:rFonts w:hint="eastAsia"/>
          <w:szCs w:val="32"/>
        </w:rPr>
        <w:t>%</w:t>
      </w:r>
      <w:r>
        <w:rPr>
          <w:szCs w:val="32"/>
        </w:rPr>
        <w:t>；</w:t>
      </w:r>
      <w:r>
        <w:rPr>
          <w:rFonts w:hint="eastAsia"/>
          <w:szCs w:val="32"/>
        </w:rPr>
        <w:t>固定资产投资由1</w:t>
      </w:r>
      <w:r>
        <w:rPr>
          <w:szCs w:val="32"/>
        </w:rPr>
        <w:t>3.73</w:t>
      </w:r>
      <w:r>
        <w:rPr>
          <w:rFonts w:hint="eastAsia"/>
          <w:szCs w:val="32"/>
        </w:rPr>
        <w:t>亿元增长到5</w:t>
      </w:r>
      <w:r>
        <w:rPr>
          <w:szCs w:val="32"/>
        </w:rPr>
        <w:t>9.7</w:t>
      </w:r>
      <w:r>
        <w:rPr>
          <w:rFonts w:hint="eastAsia"/>
          <w:szCs w:val="32"/>
        </w:rPr>
        <w:t>亿元，年均增长3</w:t>
      </w:r>
      <w:r>
        <w:rPr>
          <w:szCs w:val="32"/>
        </w:rPr>
        <w:t>4.17</w:t>
      </w:r>
      <w:r>
        <w:rPr>
          <w:rFonts w:hint="eastAsia"/>
          <w:szCs w:val="32"/>
        </w:rPr>
        <w:t>%；</w:t>
      </w:r>
      <w:r>
        <w:rPr>
          <w:szCs w:val="32"/>
        </w:rPr>
        <w:t>财政一般公共预算收入由0.67</w:t>
      </w:r>
      <w:r>
        <w:rPr>
          <w:rFonts w:hint="eastAsia"/>
          <w:szCs w:val="32"/>
        </w:rPr>
        <w:t>亿</w:t>
      </w:r>
      <w:r>
        <w:rPr>
          <w:szCs w:val="32"/>
        </w:rPr>
        <w:t>元增长到2.02</w:t>
      </w:r>
      <w:r>
        <w:rPr>
          <w:rFonts w:hint="eastAsia"/>
          <w:szCs w:val="32"/>
        </w:rPr>
        <w:t>亿</w:t>
      </w:r>
      <w:r>
        <w:rPr>
          <w:szCs w:val="32"/>
        </w:rPr>
        <w:t>元，年均增长</w:t>
      </w:r>
      <w:r>
        <w:rPr>
          <w:rFonts w:hint="eastAsia"/>
          <w:szCs w:val="32"/>
        </w:rPr>
        <w:t>2</w:t>
      </w:r>
      <w:r>
        <w:rPr>
          <w:szCs w:val="32"/>
        </w:rPr>
        <w:t>4.57%</w:t>
      </w:r>
      <w:r>
        <w:rPr>
          <w:rFonts w:hint="eastAsia"/>
          <w:szCs w:val="32"/>
        </w:rPr>
        <w:t>；社会消费品零售总额由3</w:t>
      </w:r>
      <w:r>
        <w:rPr>
          <w:szCs w:val="32"/>
        </w:rPr>
        <w:t>.42</w:t>
      </w:r>
      <w:r>
        <w:rPr>
          <w:rFonts w:hint="eastAsia"/>
          <w:szCs w:val="32"/>
        </w:rPr>
        <w:t>亿元增长到5</w:t>
      </w:r>
      <w:r>
        <w:rPr>
          <w:szCs w:val="32"/>
        </w:rPr>
        <w:t>.26</w:t>
      </w:r>
      <w:r>
        <w:rPr>
          <w:rFonts w:hint="eastAsia"/>
          <w:szCs w:val="32"/>
        </w:rPr>
        <w:t>亿元，年均增长9%；城乡居民人均可支配收入分别由3</w:t>
      </w:r>
      <w:r>
        <w:rPr>
          <w:szCs w:val="32"/>
        </w:rPr>
        <w:t>6480</w:t>
      </w:r>
      <w:r>
        <w:rPr>
          <w:rFonts w:hint="eastAsia"/>
          <w:szCs w:val="32"/>
        </w:rPr>
        <w:t>元、2</w:t>
      </w:r>
      <w:r>
        <w:rPr>
          <w:szCs w:val="32"/>
        </w:rPr>
        <w:t>0703</w:t>
      </w:r>
      <w:r>
        <w:rPr>
          <w:rFonts w:hint="eastAsia"/>
          <w:szCs w:val="32"/>
        </w:rPr>
        <w:t>元提高至</w:t>
      </w:r>
      <w:r>
        <w:rPr>
          <w:szCs w:val="32"/>
        </w:rPr>
        <w:t>51098</w:t>
      </w:r>
      <w:r>
        <w:rPr>
          <w:rFonts w:hint="eastAsia"/>
          <w:szCs w:val="32"/>
        </w:rPr>
        <w:t>元、</w:t>
      </w:r>
      <w:r>
        <w:rPr>
          <w:szCs w:val="32"/>
        </w:rPr>
        <w:t>31158</w:t>
      </w:r>
      <w:r>
        <w:rPr>
          <w:rFonts w:hint="eastAsia"/>
          <w:szCs w:val="32"/>
        </w:rPr>
        <w:t>元，年均分别增长</w:t>
      </w:r>
      <w:r>
        <w:rPr>
          <w:szCs w:val="32"/>
        </w:rPr>
        <w:t>6.97%</w:t>
      </w:r>
      <w:r>
        <w:rPr>
          <w:rFonts w:hint="eastAsia"/>
          <w:szCs w:val="32"/>
        </w:rPr>
        <w:t>、</w:t>
      </w:r>
      <w:r>
        <w:rPr>
          <w:szCs w:val="32"/>
        </w:rPr>
        <w:t>8</w:t>
      </w:r>
      <w:r>
        <w:rPr>
          <w:rFonts w:hint="eastAsia"/>
          <w:szCs w:val="32"/>
        </w:rPr>
        <w:t>.</w:t>
      </w:r>
      <w:r>
        <w:rPr>
          <w:szCs w:val="32"/>
        </w:rPr>
        <w:t>52%</w:t>
      </w:r>
      <w:r>
        <w:rPr>
          <w:rFonts w:hint="eastAsia"/>
          <w:szCs w:val="32"/>
        </w:rPr>
        <w:t>，稳重向好的发展态势愈发凸显。</w:t>
      </w:r>
    </w:p>
    <w:p>
      <w:pPr>
        <w:adjustRightInd w:val="0"/>
        <w:snapToGrid w:val="0"/>
        <w:rPr>
          <w:szCs w:val="32"/>
        </w:rPr>
      </w:pPr>
      <w:bookmarkStart w:id="9" w:name="_Hlk214898389"/>
      <w:r>
        <w:rPr>
          <w:rFonts w:eastAsia="楷体_GB2312"/>
          <w:b/>
          <w:bCs/>
          <w:szCs w:val="32"/>
        </w:rPr>
        <w:t>特色农牧产业提质增效。</w:t>
      </w:r>
      <w:bookmarkStart w:id="10" w:name="_Hlk214898427"/>
      <w:bookmarkStart w:id="11" w:name="OLE_LINK26"/>
      <w:bookmarkEnd w:id="9"/>
      <w:r>
        <w:rPr>
          <w:b/>
          <w:bCs/>
          <w:szCs w:val="32"/>
        </w:rPr>
        <w:t>畜牧业配套设施</w:t>
      </w:r>
      <w:r>
        <w:rPr>
          <w:rFonts w:hint="eastAsia"/>
          <w:b/>
          <w:bCs/>
          <w:szCs w:val="32"/>
        </w:rPr>
        <w:t>不断完善</w:t>
      </w:r>
      <w:r>
        <w:rPr>
          <w:b/>
          <w:bCs/>
          <w:szCs w:val="32"/>
        </w:rPr>
        <w:t>，</w:t>
      </w:r>
      <w:bookmarkEnd w:id="10"/>
      <w:r>
        <w:rPr>
          <w:szCs w:val="32"/>
        </w:rPr>
        <w:t>松宗镇角达村藏猪养殖基地成为西藏第一个免检藏猪养殖场，</w:t>
      </w:r>
      <w:bookmarkStart w:id="12" w:name="OLE_LINK101"/>
      <w:r>
        <w:rPr>
          <w:szCs w:val="32"/>
        </w:rPr>
        <w:t>藏猪产品获得CQC港澳质量管理体系认证，</w:t>
      </w:r>
      <w:bookmarkStart w:id="13" w:name="_Hlk217986494"/>
      <w:bookmarkStart w:id="14" w:name="_Hlk217397522"/>
      <w:bookmarkEnd w:id="12"/>
      <w:r>
        <w:rPr>
          <w:rFonts w:hint="eastAsia"/>
          <w:szCs w:val="32"/>
        </w:rPr>
        <w:t>已建成雅江雪牛育肥基地</w:t>
      </w:r>
      <w:r>
        <w:rPr>
          <w:szCs w:val="32"/>
        </w:rPr>
        <w:t>1</w:t>
      </w:r>
      <w:r>
        <w:rPr>
          <w:rFonts w:hint="eastAsia"/>
          <w:szCs w:val="32"/>
        </w:rPr>
        <w:t>处、标准化藏猪养殖场</w:t>
      </w:r>
      <w:r>
        <w:rPr>
          <w:szCs w:val="32"/>
        </w:rPr>
        <w:t>2</w:t>
      </w:r>
      <w:r>
        <w:rPr>
          <w:rFonts w:hint="eastAsia"/>
          <w:szCs w:val="32"/>
        </w:rPr>
        <w:t>处、标准化屠宰场</w:t>
      </w:r>
      <w:r>
        <w:rPr>
          <w:szCs w:val="32"/>
        </w:rPr>
        <w:t>1</w:t>
      </w:r>
      <w:r>
        <w:rPr>
          <w:rFonts w:hint="eastAsia"/>
          <w:szCs w:val="32"/>
        </w:rPr>
        <w:t>处，</w:t>
      </w:r>
      <w:bookmarkStart w:id="15" w:name="OLE_LINK131"/>
      <w:r>
        <w:rPr>
          <w:rFonts w:hint="eastAsia"/>
          <w:szCs w:val="32"/>
        </w:rPr>
        <w:t>牲畜存栏</w:t>
      </w:r>
      <w:r>
        <w:rPr>
          <w:szCs w:val="32"/>
        </w:rPr>
        <w:t>2759</w:t>
      </w:r>
      <w:r>
        <w:rPr>
          <w:rFonts w:hint="eastAsia"/>
          <w:szCs w:val="32"/>
        </w:rPr>
        <w:t>头</w:t>
      </w:r>
      <w:bookmarkEnd w:id="13"/>
      <w:bookmarkEnd w:id="15"/>
      <w:r>
        <w:rPr>
          <w:szCs w:val="32"/>
        </w:rPr>
        <w:t>。</w:t>
      </w:r>
      <w:bookmarkStart w:id="16" w:name="_Hlk214898436"/>
      <w:bookmarkEnd w:id="14"/>
      <w:r>
        <w:rPr>
          <w:b/>
          <w:bCs/>
          <w:szCs w:val="32"/>
        </w:rPr>
        <w:t>茶产业质量</w:t>
      </w:r>
      <w:r>
        <w:rPr>
          <w:rFonts w:hint="eastAsia"/>
          <w:b/>
          <w:bCs/>
          <w:szCs w:val="32"/>
        </w:rPr>
        <w:t>显著</w:t>
      </w:r>
      <w:r>
        <w:rPr>
          <w:b/>
          <w:bCs/>
          <w:szCs w:val="32"/>
        </w:rPr>
        <w:t>提高，</w:t>
      </w:r>
      <w:bookmarkStart w:id="17" w:name="_Hlk217986567"/>
      <w:bookmarkEnd w:id="16"/>
      <w:r>
        <w:rPr>
          <w:szCs w:val="32"/>
        </w:rPr>
        <w:t>成功打造以古乡、易贡、八盖为核心的区域性</w:t>
      </w:r>
      <w:r>
        <w:rPr>
          <w:rFonts w:hint="eastAsia"/>
          <w:szCs w:val="32"/>
        </w:rPr>
        <w:t>千亩茶廊</w:t>
      </w:r>
      <w:r>
        <w:rPr>
          <w:szCs w:val="32"/>
        </w:rPr>
        <w:t>，</w:t>
      </w:r>
      <w:bookmarkEnd w:id="17"/>
      <w:r>
        <w:rPr>
          <w:szCs w:val="32"/>
        </w:rPr>
        <w:t>波密被认定为全国有机农产品（茶）基地</w:t>
      </w:r>
      <w:bookmarkStart w:id="18" w:name="OLE_LINK92"/>
      <w:r>
        <w:rPr>
          <w:szCs w:val="32"/>
        </w:rPr>
        <w:t>，波密白茶、易贡红茶等产品列入全国名特优新农产品名录</w:t>
      </w:r>
      <w:bookmarkStart w:id="19" w:name="OLE_LINK115"/>
      <w:bookmarkEnd w:id="18"/>
      <w:r>
        <w:rPr>
          <w:szCs w:val="32"/>
        </w:rPr>
        <w:t>，</w:t>
      </w:r>
      <w:bookmarkStart w:id="20" w:name="_Hlk214898508"/>
      <w:r>
        <w:rPr>
          <w:rFonts w:hint="eastAsia"/>
          <w:szCs w:val="32"/>
        </w:rPr>
        <w:t>波密茶企首次中标全区低氟茶采购项目，茶叶外贸出口稳中有增。</w:t>
      </w:r>
      <w:bookmarkStart w:id="21" w:name="_Hlk214898454"/>
      <w:bookmarkEnd w:id="19"/>
      <w:bookmarkEnd w:id="20"/>
      <w:r>
        <w:rPr>
          <w:b/>
          <w:bCs/>
          <w:szCs w:val="32"/>
        </w:rPr>
        <w:t>林下产业</w:t>
      </w:r>
      <w:r>
        <w:rPr>
          <w:rFonts w:hint="eastAsia"/>
          <w:b/>
          <w:bCs/>
          <w:szCs w:val="32"/>
        </w:rPr>
        <w:t>实现</w:t>
      </w:r>
      <w:r>
        <w:rPr>
          <w:b/>
          <w:bCs/>
          <w:szCs w:val="32"/>
        </w:rPr>
        <w:t>高质量发展，</w:t>
      </w:r>
      <w:bookmarkEnd w:id="21"/>
      <w:r>
        <w:rPr>
          <w:szCs w:val="32"/>
        </w:rPr>
        <w:t>天麻、灵芝菌、羊肚菌种植面积大幅度增加，构建“广东-云南-西藏”三地天麻合作模式，藏天麻种植基地成功获批“国家波密天麻现代种业标准化示范区”“自治区级藏天麻星创天地孵化基地”，</w:t>
      </w:r>
      <w:bookmarkStart w:id="22" w:name="_Hlk214898466"/>
      <w:r>
        <w:rPr>
          <w:rFonts w:hint="eastAsia"/>
          <w:szCs w:val="32"/>
        </w:rPr>
        <w:t>波密天麻荣登中国地理标志产品（中药材）区域公用品牌声誉百强榜、入选全国十大产业兴邦优质课题、获中国西南野生生物种质资源库永久保藏</w:t>
      </w:r>
      <w:r>
        <w:rPr>
          <w:szCs w:val="32"/>
        </w:rPr>
        <w:t>，</w:t>
      </w:r>
      <w:bookmarkEnd w:id="22"/>
      <w:r>
        <w:rPr>
          <w:szCs w:val="32"/>
        </w:rPr>
        <w:t>开发</w:t>
      </w:r>
      <w:bookmarkStart w:id="23" w:name="_Hlk217986601"/>
      <w:r>
        <w:rPr>
          <w:szCs w:val="32"/>
        </w:rPr>
        <w:t>天麻酒、天麻颗粒等系列产品，总产值达</w:t>
      </w:r>
      <w:bookmarkEnd w:id="23"/>
      <w:r>
        <w:rPr>
          <w:szCs w:val="32"/>
        </w:rPr>
        <w:t>4500万元，</w:t>
      </w:r>
      <w:bookmarkStart w:id="24" w:name="OLE_LINK138"/>
      <w:r>
        <w:rPr>
          <w:szCs w:val="32"/>
        </w:rPr>
        <w:t>带动多个乡村增收并完成全县5个“零收入”村、27个“薄弱村”“清零消薄”任务</w:t>
      </w:r>
      <w:bookmarkEnd w:id="24"/>
      <w:r>
        <w:rPr>
          <w:szCs w:val="32"/>
        </w:rPr>
        <w:t>。</w:t>
      </w:r>
      <w:r>
        <w:rPr>
          <w:rFonts w:hint="eastAsia"/>
          <w:b/>
          <w:bCs/>
          <w:szCs w:val="32"/>
        </w:rPr>
        <w:t>农牧业现代化建设提速，</w:t>
      </w:r>
      <w:r>
        <w:rPr>
          <w:rFonts w:hint="eastAsia"/>
          <w:szCs w:val="32"/>
        </w:rPr>
        <w:t>高标准农田建设稳步推进，</w:t>
      </w:r>
      <w:bookmarkStart w:id="25" w:name="_Hlk217397539"/>
      <w:r>
        <w:rPr>
          <w:rFonts w:hint="eastAsia"/>
          <w:szCs w:val="32"/>
        </w:rPr>
        <w:t>“十四五”期间，</w:t>
      </w:r>
      <w:r>
        <w:rPr>
          <w:szCs w:val="32"/>
        </w:rPr>
        <w:t>波密县粮食总产量达2.594万吨</w:t>
      </w:r>
      <w:r>
        <w:rPr>
          <w:rFonts w:hint="eastAsia"/>
          <w:szCs w:val="32"/>
        </w:rPr>
        <w:t>，</w:t>
      </w:r>
      <w:bookmarkEnd w:id="25"/>
      <w:r>
        <w:rPr>
          <w:szCs w:val="32"/>
        </w:rPr>
        <w:t>建成茶叶及高原食药用菌加工厂、菌种厂、冷冻库等产业配套设施，波密国家现代农业产业园顺利通过国家绩效评估终验，扎木镇成功入选全国农业产业强镇。</w:t>
      </w:r>
      <w:bookmarkEnd w:id="11"/>
    </w:p>
    <w:p>
      <w:pPr>
        <w:adjustRightInd w:val="0"/>
        <w:snapToGrid w:val="0"/>
        <w:rPr>
          <w:szCs w:val="32"/>
        </w:rPr>
      </w:pPr>
      <w:r>
        <w:rPr>
          <w:rFonts w:eastAsia="楷体_GB2312"/>
          <w:b/>
          <w:bCs/>
          <w:szCs w:val="32"/>
        </w:rPr>
        <w:t>文化旅游产业蓬勃发展。</w:t>
      </w:r>
      <w:r>
        <w:rPr>
          <w:b/>
          <w:bCs/>
          <w:szCs w:val="32"/>
        </w:rPr>
        <w:t>产业经济效益</w:t>
      </w:r>
      <w:r>
        <w:rPr>
          <w:rFonts w:hint="eastAsia"/>
          <w:b/>
          <w:bCs/>
          <w:szCs w:val="32"/>
        </w:rPr>
        <w:t>明显增强</w:t>
      </w:r>
      <w:r>
        <w:rPr>
          <w:b/>
          <w:bCs/>
          <w:szCs w:val="32"/>
        </w:rPr>
        <w:t>。</w:t>
      </w:r>
      <w:bookmarkStart w:id="26" w:name="_Hlk217397583"/>
      <w:bookmarkStart w:id="27" w:name="_Hlk217853157"/>
      <w:r>
        <w:rPr>
          <w:rFonts w:hint="eastAsia"/>
          <w:szCs w:val="32"/>
        </w:rPr>
        <w:t>“十四五”期间，波密县累计接待游客</w:t>
      </w:r>
      <w:r>
        <w:rPr>
          <w:szCs w:val="32"/>
        </w:rPr>
        <w:t>1128.85</w:t>
      </w:r>
      <w:r>
        <w:rPr>
          <w:rFonts w:hint="eastAsia"/>
          <w:szCs w:val="32"/>
        </w:rPr>
        <w:t>万人次，实现收入</w:t>
      </w:r>
      <w:r>
        <w:rPr>
          <w:szCs w:val="32"/>
        </w:rPr>
        <w:t>87.17</w:t>
      </w:r>
      <w:r>
        <w:rPr>
          <w:rFonts w:hint="eastAsia"/>
          <w:szCs w:val="32"/>
        </w:rPr>
        <w:t>亿元，</w:t>
      </w:r>
      <w:bookmarkEnd w:id="26"/>
      <w:r>
        <w:rPr>
          <w:rFonts w:hint="eastAsia"/>
          <w:szCs w:val="32"/>
        </w:rPr>
        <w:t>接待游客数量年均增速达</w:t>
      </w:r>
      <w:r>
        <w:rPr>
          <w:szCs w:val="32"/>
        </w:rPr>
        <w:t>17.75%</w:t>
      </w:r>
      <w:bookmarkEnd w:id="27"/>
      <w:r>
        <w:rPr>
          <w:szCs w:val="32"/>
        </w:rPr>
        <w:t>。</w:t>
      </w:r>
      <w:r>
        <w:rPr>
          <w:b/>
          <w:bCs/>
          <w:szCs w:val="32"/>
        </w:rPr>
        <w:t>旅游品牌知名度显著提升，</w:t>
      </w:r>
      <w:r>
        <w:rPr>
          <w:szCs w:val="32"/>
        </w:rPr>
        <w:t>波密县</w:t>
      </w:r>
      <w:bookmarkStart w:id="28" w:name="OLE_LINK139"/>
      <w:r>
        <w:rPr>
          <w:szCs w:val="32"/>
        </w:rPr>
        <w:t>连续5年荣登“中国最美县城”榜单</w:t>
      </w:r>
      <w:bookmarkEnd w:id="28"/>
      <w:r>
        <w:rPr>
          <w:szCs w:val="32"/>
        </w:rPr>
        <w:t>，</w:t>
      </w:r>
      <w:bookmarkStart w:id="29" w:name="_Hlk214913809"/>
      <w:r>
        <w:rPr>
          <w:rFonts w:hint="eastAsia"/>
          <w:szCs w:val="32"/>
        </w:rPr>
        <w:t>顺利通过旅游名县市级评审，嘎朗湖景区成功创建</w:t>
      </w:r>
      <w:r>
        <w:rPr>
          <w:szCs w:val="32"/>
        </w:rPr>
        <w:t>国家4A</w:t>
      </w:r>
      <w:r>
        <w:rPr>
          <w:rFonts w:hint="eastAsia"/>
          <w:szCs w:val="32"/>
        </w:rPr>
        <w:t>级景区，</w:t>
      </w:r>
      <w:bookmarkEnd w:id="29"/>
      <w:r>
        <w:rPr>
          <w:rFonts w:hint="eastAsia"/>
          <w:szCs w:val="32"/>
        </w:rPr>
        <w:t>全县</w:t>
      </w:r>
      <w:r>
        <w:rPr>
          <w:szCs w:val="32"/>
        </w:rPr>
        <w:t>4A</w:t>
      </w:r>
      <w:r>
        <w:rPr>
          <w:rFonts w:hint="eastAsia"/>
          <w:szCs w:val="32"/>
        </w:rPr>
        <w:t>级景区总数增至</w:t>
      </w:r>
      <w:r>
        <w:rPr>
          <w:szCs w:val="32"/>
        </w:rPr>
        <w:t>3</w:t>
      </w:r>
      <w:r>
        <w:rPr>
          <w:rFonts w:hint="eastAsia"/>
          <w:szCs w:val="32"/>
        </w:rPr>
        <w:t>个，</w:t>
      </w:r>
      <w:r>
        <w:rPr>
          <w:szCs w:val="32"/>
        </w:rPr>
        <w:t>岗云杉林成功创建国家3A级景区，</w:t>
      </w:r>
      <w:bookmarkStart w:id="30" w:name="OLE_LINK141"/>
      <w:bookmarkStart w:id="31" w:name="OLE_LINK140"/>
      <w:r>
        <w:rPr>
          <w:szCs w:val="32"/>
        </w:rPr>
        <w:t>岗巴村、嘎朗村入选自治区级绿色旅游示范基地</w:t>
      </w:r>
      <w:bookmarkEnd w:id="30"/>
      <w:r>
        <w:rPr>
          <w:szCs w:val="32"/>
        </w:rPr>
        <w:t>，扎木中心县委红楼入选西藏自治区爱国主义教育基地，</w:t>
      </w:r>
      <w:bookmarkEnd w:id="31"/>
      <w:r>
        <w:rPr>
          <w:rFonts w:hint="eastAsia"/>
          <w:szCs w:val="32"/>
        </w:rPr>
        <w:t>新增</w:t>
      </w:r>
      <w:r>
        <w:rPr>
          <w:szCs w:val="32"/>
        </w:rPr>
        <w:t>朗秋冰川、嘎瓦龙等多处旅游景区。</w:t>
      </w:r>
      <w:bookmarkStart w:id="32" w:name="_Hlk214914274"/>
      <w:r>
        <w:rPr>
          <w:b/>
          <w:bCs/>
          <w:szCs w:val="32"/>
        </w:rPr>
        <w:t>文体赛事活动多点开花</w:t>
      </w:r>
      <w:bookmarkStart w:id="33" w:name="OLE_LINK33"/>
      <w:bookmarkEnd w:id="32"/>
      <w:r>
        <w:rPr>
          <w:rFonts w:hint="eastAsia"/>
          <w:b/>
          <w:bCs/>
          <w:szCs w:val="32"/>
        </w:rPr>
        <w:t>，</w:t>
      </w:r>
      <w:r>
        <w:rPr>
          <w:szCs w:val="32"/>
        </w:rPr>
        <w:t>多次</w:t>
      </w:r>
      <w:bookmarkEnd w:id="33"/>
      <w:r>
        <w:rPr>
          <w:szCs w:val="32"/>
        </w:rPr>
        <w:t>举办桃花旅游文化节活动</w:t>
      </w:r>
      <w:bookmarkStart w:id="34" w:name="OLE_LINK27"/>
      <w:r>
        <w:rPr>
          <w:szCs w:val="32"/>
        </w:rPr>
        <w:t>，</w:t>
      </w:r>
      <w:bookmarkStart w:id="35" w:name="OLE_LINK32"/>
      <w:r>
        <w:rPr>
          <w:szCs w:val="32"/>
        </w:rPr>
        <w:t>成功</w:t>
      </w:r>
      <w:bookmarkEnd w:id="35"/>
      <w:r>
        <w:rPr>
          <w:szCs w:val="32"/>
        </w:rPr>
        <w:t>组织“冬游西藏”—最美G318多彩波密系列活动</w:t>
      </w:r>
      <w:bookmarkEnd w:id="34"/>
      <w:r>
        <w:rPr>
          <w:szCs w:val="32"/>
        </w:rPr>
        <w:t>，率先实施西藏首个冰雪娱乐项目“嘎瓦龙冰雪乐园”，举办</w:t>
      </w:r>
      <w:r>
        <w:rPr>
          <w:rFonts w:hint="eastAsia"/>
          <w:szCs w:val="32"/>
        </w:rPr>
        <w:t>两</w:t>
      </w:r>
      <w:r>
        <w:rPr>
          <w:szCs w:val="32"/>
        </w:rPr>
        <w:t>届“冰川杯”足球邀请赛，</w:t>
      </w:r>
      <w:bookmarkStart w:id="36" w:name="OLE_LINK34"/>
      <w:r>
        <w:rPr>
          <w:szCs w:val="32"/>
        </w:rPr>
        <w:t>非遗歌舞《波央·踏音波隅》登上藏历新年晚会，</w:t>
      </w:r>
      <w:bookmarkEnd w:id="36"/>
      <w:r>
        <w:rPr>
          <w:szCs w:val="32"/>
        </w:rPr>
        <w:t>《波密红》登上西藏大剧院舞台</w:t>
      </w:r>
      <w:bookmarkStart w:id="37" w:name="OLE_LINK30"/>
      <w:r>
        <w:rPr>
          <w:szCs w:val="32"/>
        </w:rPr>
        <w:t>。</w:t>
      </w:r>
      <w:bookmarkStart w:id="38" w:name="OLE_LINK28"/>
      <w:bookmarkEnd w:id="37"/>
      <w:r>
        <w:rPr>
          <w:rFonts w:hint="eastAsia"/>
          <w:b/>
          <w:bCs/>
          <w:szCs w:val="32"/>
        </w:rPr>
        <w:t>旅游发展基础不断夯实</w:t>
      </w:r>
      <w:bookmarkEnd w:id="38"/>
      <w:r>
        <w:rPr>
          <w:rFonts w:hint="eastAsia"/>
          <w:b/>
          <w:bCs/>
          <w:szCs w:val="32"/>
        </w:rPr>
        <w:t>，</w:t>
      </w:r>
      <w:r>
        <w:rPr>
          <w:szCs w:val="32"/>
        </w:rPr>
        <w:t>成立首家县域旅行社并引进多家全国连锁酒店，G318志愿服务队、红色驿站成为波密旅游新名片，接待能力和服务水平全面提升，</w:t>
      </w:r>
      <w:bookmarkStart w:id="39" w:name="OLE_LINK70"/>
      <w:bookmarkStart w:id="40" w:name="OLE_LINK31"/>
      <w:r>
        <w:rPr>
          <w:rFonts w:hint="eastAsia"/>
          <w:szCs w:val="32"/>
        </w:rPr>
        <w:t>不断加强</w:t>
      </w:r>
      <w:bookmarkEnd w:id="39"/>
      <w:r>
        <w:rPr>
          <w:rFonts w:hint="eastAsia"/>
          <w:szCs w:val="32"/>
        </w:rPr>
        <w:t>与邻近县区协同发展，</w:t>
      </w:r>
      <w:r>
        <w:rPr>
          <w:szCs w:val="32"/>
        </w:rPr>
        <w:t>全域旅游建构进度加快。</w:t>
      </w:r>
      <w:bookmarkStart w:id="41" w:name="OLE_LINK25"/>
    </w:p>
    <w:p>
      <w:pPr>
        <w:adjustRightInd w:val="0"/>
        <w:snapToGrid w:val="0"/>
        <w:rPr>
          <w:szCs w:val="32"/>
        </w:rPr>
      </w:pPr>
      <w:bookmarkEnd w:id="40"/>
      <w:bookmarkEnd w:id="41"/>
      <w:r>
        <w:rPr>
          <w:rFonts w:eastAsia="楷体_GB2312"/>
          <w:b/>
          <w:bCs/>
          <w:szCs w:val="32"/>
        </w:rPr>
        <w:t>基础设施水平全面提高。</w:t>
      </w:r>
      <w:r>
        <w:rPr>
          <w:b/>
          <w:bCs/>
          <w:szCs w:val="32"/>
        </w:rPr>
        <w:t>道路交通条件极大改善，</w:t>
      </w:r>
      <w:r>
        <w:rPr>
          <w:rFonts w:hint="eastAsia"/>
          <w:szCs w:val="32"/>
        </w:rPr>
        <w:t>乡村道路全部畅通，</w:t>
      </w:r>
      <w:bookmarkStart w:id="42" w:name="OLE_LINK142"/>
      <w:r>
        <w:rPr>
          <w:rFonts w:hint="eastAsia"/>
          <w:szCs w:val="32"/>
        </w:rPr>
        <w:t>完成</w:t>
      </w:r>
      <w:r>
        <w:rPr>
          <w:szCs w:val="32"/>
        </w:rPr>
        <w:t>G318（波密段）提质改造工程，</w:t>
      </w:r>
      <w:bookmarkStart w:id="43" w:name="OLE_LINK143"/>
      <w:bookmarkStart w:id="44" w:name="_Hlk217397689"/>
      <w:bookmarkEnd w:id="42"/>
      <w:r>
        <w:rPr>
          <w:szCs w:val="32"/>
        </w:rPr>
        <w:t>升级改造波密至</w:t>
      </w:r>
      <w:r>
        <w:rPr>
          <w:rFonts w:hint="eastAsia"/>
          <w:szCs w:val="32"/>
        </w:rPr>
        <w:t>巴宜</w:t>
      </w:r>
      <w:r>
        <w:rPr>
          <w:szCs w:val="32"/>
        </w:rPr>
        <w:t>、松宗至多吉、倾多至卡达等国省道路</w:t>
      </w:r>
      <w:bookmarkEnd w:id="43"/>
      <w:r>
        <w:rPr>
          <w:szCs w:val="32"/>
        </w:rPr>
        <w:t>，</w:t>
      </w:r>
      <w:bookmarkStart w:id="45" w:name="OLE_LINK144"/>
      <w:bookmarkEnd w:id="44"/>
      <w:r>
        <w:rPr>
          <w:rFonts w:hint="eastAsia"/>
          <w:szCs w:val="32"/>
        </w:rPr>
        <w:t>果藏拉隧道实现历史性贯通，</w:t>
      </w:r>
      <w:r>
        <w:rPr>
          <w:szCs w:val="32"/>
        </w:rPr>
        <w:t>实施玉许乡</w:t>
      </w:r>
      <w:r>
        <w:rPr>
          <w:rFonts w:hint="eastAsia"/>
          <w:szCs w:val="32"/>
        </w:rPr>
        <w:t>过琼桥</w:t>
      </w:r>
      <w:r>
        <w:rPr>
          <w:szCs w:val="32"/>
        </w:rPr>
        <w:t>等危桥改造项目，完成倾玉线、岗巴村等路段养护项目</w:t>
      </w:r>
      <w:bookmarkEnd w:id="45"/>
      <w:r>
        <w:rPr>
          <w:szCs w:val="32"/>
        </w:rPr>
        <w:t>，</w:t>
      </w:r>
      <w:bookmarkStart w:id="46" w:name="OLE_LINK145"/>
      <w:r>
        <w:rPr>
          <w:rFonts w:hint="eastAsia"/>
          <w:szCs w:val="32"/>
        </w:rPr>
        <w:t>开展</w:t>
      </w:r>
      <w:r>
        <w:rPr>
          <w:szCs w:val="32"/>
        </w:rPr>
        <w:t>县城北岸道路“白改黑”建设、</w:t>
      </w:r>
      <w:bookmarkStart w:id="47" w:name="OLE_LINK147"/>
      <w:r>
        <w:rPr>
          <w:szCs w:val="32"/>
        </w:rPr>
        <w:t>帕隆藏布沿岸健走步道建设，</w:t>
      </w:r>
      <w:bookmarkEnd w:id="47"/>
      <w:r>
        <w:rPr>
          <w:szCs w:val="32"/>
        </w:rPr>
        <w:t>建设八盖乡龙普村、康玉乡拉瓦西村农村公路，</w:t>
      </w:r>
      <w:bookmarkStart w:id="48" w:name="OLE_LINK146"/>
      <w:bookmarkStart w:id="49" w:name="OLE_LINK148"/>
      <w:bookmarkEnd w:id="46"/>
      <w:r>
        <w:rPr>
          <w:szCs w:val="32"/>
        </w:rPr>
        <w:t>偏远乡镇交通短板加快补齐。</w:t>
      </w:r>
      <w:bookmarkStart w:id="50" w:name="OLE_LINK149"/>
      <w:bookmarkEnd w:id="48"/>
      <w:bookmarkEnd w:id="49"/>
      <w:r>
        <w:rPr>
          <w:b/>
          <w:bCs/>
          <w:szCs w:val="32"/>
        </w:rPr>
        <w:t>水利设施不断优化，</w:t>
      </w:r>
      <w:bookmarkStart w:id="51" w:name="OLE_LINK150"/>
      <w:r>
        <w:rPr>
          <w:szCs w:val="32"/>
        </w:rPr>
        <w:t>维修改造农村饮水安全工程</w:t>
      </w:r>
      <w:bookmarkStart w:id="52" w:name="OLE_LINK155"/>
      <w:bookmarkStart w:id="53" w:name="OLE_LINK151"/>
      <w:bookmarkEnd w:id="51"/>
      <w:r>
        <w:rPr>
          <w:rFonts w:hint="eastAsia"/>
          <w:szCs w:val="32"/>
        </w:rPr>
        <w:t>，</w:t>
      </w:r>
      <w:r>
        <w:rPr>
          <w:szCs w:val="32"/>
        </w:rPr>
        <w:t>完成波堆藏布、曲宗藏布、亚龙藏布</w:t>
      </w:r>
      <w:bookmarkEnd w:id="52"/>
      <w:r>
        <w:rPr>
          <w:szCs w:val="32"/>
        </w:rPr>
        <w:t>河道治理和乡村防洪工程</w:t>
      </w:r>
      <w:bookmarkEnd w:id="53"/>
      <w:r>
        <w:rPr>
          <w:szCs w:val="32"/>
        </w:rPr>
        <w:t>，</w:t>
      </w:r>
      <w:bookmarkStart w:id="54" w:name="OLE_LINK153"/>
      <w:bookmarkStart w:id="55" w:name="OLE_LINK152"/>
      <w:r>
        <w:rPr>
          <w:szCs w:val="32"/>
        </w:rPr>
        <w:t>建成波密县农村供水保障工程，</w:t>
      </w:r>
      <w:bookmarkEnd w:id="54"/>
      <w:r>
        <w:rPr>
          <w:szCs w:val="32"/>
        </w:rPr>
        <w:t>群众</w:t>
      </w:r>
      <w:r>
        <w:rPr>
          <w:rFonts w:hint="eastAsia"/>
          <w:szCs w:val="32"/>
        </w:rPr>
        <w:t>饮</w:t>
      </w:r>
      <w:r>
        <w:rPr>
          <w:szCs w:val="32"/>
        </w:rPr>
        <w:t>水安全</w:t>
      </w:r>
      <w:r>
        <w:rPr>
          <w:rFonts w:hint="eastAsia"/>
          <w:szCs w:val="32"/>
        </w:rPr>
        <w:t>得到有效保障</w:t>
      </w:r>
      <w:r>
        <w:rPr>
          <w:szCs w:val="32"/>
        </w:rPr>
        <w:t>。</w:t>
      </w:r>
      <w:bookmarkStart w:id="56" w:name="OLE_LINK154"/>
      <w:bookmarkEnd w:id="55"/>
      <w:r>
        <w:rPr>
          <w:rFonts w:hint="eastAsia"/>
          <w:b/>
          <w:bCs/>
          <w:szCs w:val="32"/>
        </w:rPr>
        <w:t>电网升级改造加快推进，</w:t>
      </w:r>
      <w:r>
        <w:rPr>
          <w:rFonts w:hint="eastAsia"/>
          <w:szCs w:val="32"/>
        </w:rPr>
        <w:t>完成</w:t>
      </w:r>
      <w:r>
        <w:rPr>
          <w:szCs w:val="32"/>
        </w:rPr>
        <w:t>4</w:t>
      </w:r>
      <w:r>
        <w:rPr>
          <w:rFonts w:hint="eastAsia"/>
          <w:szCs w:val="32"/>
        </w:rPr>
        <w:t>座</w:t>
      </w:r>
      <w:r>
        <w:rPr>
          <w:szCs w:val="32"/>
        </w:rPr>
        <w:t>35</w:t>
      </w:r>
      <w:r>
        <w:rPr>
          <w:rFonts w:hint="eastAsia"/>
          <w:szCs w:val="32"/>
        </w:rPr>
        <w:t>千伏变电站新建及增容改造工程，松宗、倾多两个乡镇配网中低压改造建设投运，康玉乡输变电、中低压配电网工程顺利开工建设，有序并入大电网。改造提升八盖乡群众入户线路工程，八盖乡龙普村、日卡村用电难问题得到彻底解决。</w:t>
      </w:r>
      <w:bookmarkStart w:id="57" w:name="_Hlk214914348"/>
      <w:r>
        <w:rPr>
          <w:b/>
          <w:bCs/>
          <w:szCs w:val="32"/>
        </w:rPr>
        <w:t>通讯网络进一步完善</w:t>
      </w:r>
      <w:bookmarkEnd w:id="57"/>
      <w:r>
        <w:rPr>
          <w:b/>
          <w:bCs/>
          <w:szCs w:val="32"/>
        </w:rPr>
        <w:t>，</w:t>
      </w:r>
      <w:bookmarkEnd w:id="50"/>
      <w:bookmarkEnd w:id="56"/>
      <w:r>
        <w:rPr>
          <w:szCs w:val="32"/>
        </w:rPr>
        <w:t>康玉乡拉瓦西村等行政村通讯网络条件</w:t>
      </w:r>
      <w:bookmarkStart w:id="58" w:name="OLE_LINK8"/>
      <w:r>
        <w:rPr>
          <w:rFonts w:hint="eastAsia"/>
          <w:szCs w:val="32"/>
        </w:rPr>
        <w:t>持续</w:t>
      </w:r>
      <w:r>
        <w:rPr>
          <w:szCs w:val="32"/>
        </w:rPr>
        <w:t>改善</w:t>
      </w:r>
      <w:bookmarkEnd w:id="58"/>
      <w:r>
        <w:rPr>
          <w:szCs w:val="32"/>
        </w:rPr>
        <w:t>，</w:t>
      </w:r>
      <w:r>
        <w:rPr>
          <w:rFonts w:hint="eastAsia"/>
          <w:szCs w:val="32"/>
        </w:rPr>
        <w:t>八盖乡</w:t>
      </w:r>
      <w:r>
        <w:rPr>
          <w:szCs w:val="32"/>
        </w:rPr>
        <w:t>龙普村、日卡村等偏远村实现4G通讯全覆盖。</w:t>
      </w:r>
      <w:bookmarkStart w:id="59" w:name="OLE_LINK160"/>
      <w:r>
        <w:rPr>
          <w:szCs w:val="32"/>
        </w:rPr>
        <w:t>公厕升级改造全面完成，实施玉许乡、倾多镇、松宗镇等村</w:t>
      </w:r>
      <w:bookmarkStart w:id="60" w:name="_Hlk214915155"/>
      <w:r>
        <w:rPr>
          <w:rFonts w:hint="eastAsia"/>
          <w:szCs w:val="32"/>
        </w:rPr>
        <w:t>落</w:t>
      </w:r>
      <w:r>
        <w:rPr>
          <w:szCs w:val="32"/>
        </w:rPr>
        <w:t>人居环境整治</w:t>
      </w:r>
      <w:bookmarkEnd w:id="60"/>
      <w:r>
        <w:rPr>
          <w:szCs w:val="32"/>
        </w:rPr>
        <w:t>和扎木镇、八盖乡、多吉乡等整村推进建设项目，高原乡村和美景象日益呈现。</w:t>
      </w:r>
      <w:bookmarkStart w:id="61" w:name="OLE_LINK161"/>
      <w:bookmarkStart w:id="62" w:name="OLE_LINK163"/>
      <w:bookmarkEnd w:id="59"/>
    </w:p>
    <w:p>
      <w:pPr>
        <w:adjustRightInd w:val="0"/>
        <w:snapToGrid w:val="0"/>
        <w:rPr>
          <w:szCs w:val="32"/>
        </w:rPr>
      </w:pPr>
      <w:bookmarkEnd w:id="61"/>
      <w:bookmarkEnd w:id="62"/>
      <w:r>
        <w:rPr>
          <w:rFonts w:eastAsia="楷体_GB2312"/>
          <w:b/>
          <w:bCs/>
          <w:szCs w:val="32"/>
        </w:rPr>
        <w:t>人民民生福祉不断提升。</w:t>
      </w:r>
      <w:r>
        <w:rPr>
          <w:b/>
          <w:bCs/>
          <w:szCs w:val="32"/>
        </w:rPr>
        <w:t>就业形势稳中有进，</w:t>
      </w:r>
      <w:bookmarkStart w:id="63" w:name="OLE_LINK165"/>
      <w:r>
        <w:rPr>
          <w:szCs w:val="32"/>
        </w:rPr>
        <w:t>建成波密县公共实训基地，</w:t>
      </w:r>
      <w:bookmarkEnd w:id="63"/>
      <w:r>
        <w:rPr>
          <w:szCs w:val="32"/>
        </w:rPr>
        <w:t>依托重点项目及市场主体，</w:t>
      </w:r>
      <w:bookmarkStart w:id="64" w:name="_Hlk217397713"/>
      <w:r>
        <w:rPr>
          <w:rFonts w:hint="eastAsia"/>
          <w:szCs w:val="32"/>
        </w:rPr>
        <w:t>“十四五”期间，累计开展职业技能培训</w:t>
      </w:r>
      <w:r>
        <w:rPr>
          <w:szCs w:val="32"/>
        </w:rPr>
        <w:t>8500</w:t>
      </w:r>
      <w:r>
        <w:rPr>
          <w:rFonts w:hint="eastAsia"/>
          <w:szCs w:val="32"/>
        </w:rPr>
        <w:t>人次，开发就业岗位1万余个，实现新增城镇就业</w:t>
      </w:r>
      <w:r>
        <w:rPr>
          <w:szCs w:val="32"/>
        </w:rPr>
        <w:t>2300</w:t>
      </w:r>
      <w:r>
        <w:rPr>
          <w:rFonts w:hint="eastAsia"/>
          <w:szCs w:val="32"/>
        </w:rPr>
        <w:t>人，</w:t>
      </w:r>
      <w:bookmarkStart w:id="65" w:name="_Hlk217987582"/>
      <w:bookmarkStart w:id="66" w:name="_Hlk217397728"/>
      <w:bookmarkEnd w:id="64"/>
      <w:r>
        <w:rPr>
          <w:szCs w:val="32"/>
        </w:rPr>
        <w:t>累计实现农牧民转移就业3.7万余人</w:t>
      </w:r>
      <w:r>
        <w:rPr>
          <w:rFonts w:hint="eastAsia"/>
          <w:szCs w:val="32"/>
        </w:rPr>
        <w:t>，实现增收超</w:t>
      </w:r>
      <w:r>
        <w:rPr>
          <w:szCs w:val="32"/>
        </w:rPr>
        <w:t>5</w:t>
      </w:r>
      <w:r>
        <w:rPr>
          <w:rFonts w:hint="eastAsia"/>
          <w:szCs w:val="32"/>
        </w:rPr>
        <w:t>亿元</w:t>
      </w:r>
      <w:bookmarkEnd w:id="65"/>
      <w:r>
        <w:rPr>
          <w:rFonts w:hint="eastAsia"/>
          <w:szCs w:val="32"/>
        </w:rPr>
        <w:t>。</w:t>
      </w:r>
      <w:bookmarkStart w:id="67" w:name="_Hlk217987567"/>
      <w:r>
        <w:rPr>
          <w:rFonts w:hint="eastAsia"/>
          <w:szCs w:val="32"/>
        </w:rPr>
        <w:t>自2</w:t>
      </w:r>
      <w:r>
        <w:rPr>
          <w:szCs w:val="32"/>
        </w:rPr>
        <w:t>023</w:t>
      </w:r>
      <w:r>
        <w:rPr>
          <w:rFonts w:hint="eastAsia"/>
          <w:szCs w:val="32"/>
        </w:rPr>
        <w:t>年9月起兑现高校毕业生就业创业补助资金</w:t>
      </w:r>
      <w:r>
        <w:rPr>
          <w:szCs w:val="32"/>
        </w:rPr>
        <w:t>1771.974</w:t>
      </w:r>
      <w:r>
        <w:rPr>
          <w:rFonts w:hint="eastAsia"/>
          <w:szCs w:val="32"/>
        </w:rPr>
        <w:t>万元，就业率平均达</w:t>
      </w:r>
      <w:r>
        <w:rPr>
          <w:szCs w:val="32"/>
        </w:rPr>
        <w:t>95%</w:t>
      </w:r>
      <w:r>
        <w:rPr>
          <w:rFonts w:hint="eastAsia"/>
          <w:szCs w:val="32"/>
        </w:rPr>
        <w:t>。</w:t>
      </w:r>
      <w:bookmarkEnd w:id="66"/>
      <w:bookmarkEnd w:id="67"/>
      <w:r>
        <w:rPr>
          <w:rFonts w:hint="eastAsia"/>
          <w:b/>
          <w:bCs/>
          <w:szCs w:val="32"/>
        </w:rPr>
        <w:t>教育优先战略深入实施，</w:t>
      </w:r>
      <w:bookmarkStart w:id="68" w:name="OLE_LINK176"/>
      <w:bookmarkStart w:id="69" w:name="OLE_LINK167"/>
      <w:r>
        <w:rPr>
          <w:szCs w:val="32"/>
        </w:rPr>
        <w:t>落实</w:t>
      </w:r>
      <w:r>
        <w:rPr>
          <w:rFonts w:hint="eastAsia"/>
          <w:szCs w:val="32"/>
        </w:rPr>
        <w:t>全部</w:t>
      </w:r>
      <w:r>
        <w:rPr>
          <w:szCs w:val="32"/>
        </w:rPr>
        <w:t>教育经费14.5</w:t>
      </w:r>
      <w:r>
        <w:rPr>
          <w:rFonts w:hint="eastAsia"/>
          <w:szCs w:val="32"/>
        </w:rPr>
        <w:t>亿元</w:t>
      </w:r>
      <w:r>
        <w:rPr>
          <w:szCs w:val="32"/>
        </w:rPr>
        <w:t>，</w:t>
      </w:r>
      <w:bookmarkEnd w:id="68"/>
      <w:r>
        <w:rPr>
          <w:szCs w:val="32"/>
        </w:rPr>
        <w:t>完成</w:t>
      </w:r>
      <w:bookmarkStart w:id="70" w:name="_Hlk217987597"/>
      <w:r>
        <w:rPr>
          <w:szCs w:val="32"/>
        </w:rPr>
        <w:t>6</w:t>
      </w:r>
      <w:r>
        <w:rPr>
          <w:rFonts w:hint="eastAsia"/>
          <w:szCs w:val="32"/>
        </w:rPr>
        <w:t>所</w:t>
      </w:r>
      <w:r>
        <w:rPr>
          <w:szCs w:val="32"/>
        </w:rPr>
        <w:t>乡、村级幼儿园建设项目，</w:t>
      </w:r>
      <w:bookmarkStart w:id="71" w:name="OLE_LINK172"/>
      <w:bookmarkStart w:id="72" w:name="OLE_LINK169"/>
      <w:bookmarkStart w:id="73" w:name="OLE_LINK168"/>
      <w:bookmarkEnd w:id="70"/>
      <w:r>
        <w:rPr>
          <w:szCs w:val="32"/>
        </w:rPr>
        <w:t>新增570个幼儿园学位，</w:t>
      </w:r>
      <w:bookmarkStart w:id="74" w:name="OLE_LINK175"/>
      <w:bookmarkEnd w:id="71"/>
      <w:r>
        <w:rPr>
          <w:szCs w:val="32"/>
        </w:rPr>
        <w:t>义务教育入学率达100%</w:t>
      </w:r>
      <w:bookmarkEnd w:id="74"/>
      <w:r>
        <w:rPr>
          <w:szCs w:val="32"/>
        </w:rPr>
        <w:t>。</w:t>
      </w:r>
      <w:r>
        <w:rPr>
          <w:rFonts w:hint="eastAsia"/>
          <w:szCs w:val="32"/>
        </w:rPr>
        <w:t>开展</w:t>
      </w:r>
      <w:r>
        <w:rPr>
          <w:szCs w:val="32"/>
        </w:rPr>
        <w:t>校舍改建、维修改造、集中供暖等项目</w:t>
      </w:r>
      <w:bookmarkEnd w:id="72"/>
      <w:r>
        <w:rPr>
          <w:szCs w:val="32"/>
        </w:rPr>
        <w:t>，实现43所中小学、幼儿园供暖全覆盖，</w:t>
      </w:r>
      <w:bookmarkStart w:id="75" w:name="OLE_LINK177"/>
      <w:bookmarkEnd w:id="73"/>
      <w:r>
        <w:rPr>
          <w:szCs w:val="32"/>
        </w:rPr>
        <w:t>不断提升“三包”及营养餐水平，教育设施短板</w:t>
      </w:r>
      <w:bookmarkEnd w:id="75"/>
      <w:r>
        <w:rPr>
          <w:rFonts w:hint="eastAsia"/>
          <w:szCs w:val="32"/>
        </w:rPr>
        <w:t>有效补齐</w:t>
      </w:r>
      <w:r>
        <w:rPr>
          <w:szCs w:val="32"/>
        </w:rPr>
        <w:t>。</w:t>
      </w:r>
      <w:bookmarkStart w:id="76" w:name="OLE_LINK174"/>
      <w:bookmarkStart w:id="77" w:name="OLE_LINK173"/>
      <w:bookmarkEnd w:id="69"/>
      <w:r>
        <w:rPr>
          <w:szCs w:val="32"/>
        </w:rPr>
        <w:t>师资队伍建设不断强化，14</w:t>
      </w:r>
      <w:r>
        <w:rPr>
          <w:rFonts w:hint="eastAsia"/>
          <w:szCs w:val="32"/>
        </w:rPr>
        <w:t>名</w:t>
      </w:r>
      <w:r>
        <w:rPr>
          <w:szCs w:val="32"/>
        </w:rPr>
        <w:t>教师纳入广州市“名校长”“名教师”工作室。</w:t>
      </w:r>
      <w:bookmarkEnd w:id="76"/>
      <w:bookmarkEnd w:id="77"/>
      <w:r>
        <w:rPr>
          <w:b/>
          <w:bCs/>
          <w:szCs w:val="32"/>
        </w:rPr>
        <w:t>医疗体制改革持续深化，</w:t>
      </w:r>
      <w:bookmarkStart w:id="78" w:name="OLE_LINK184"/>
      <w:bookmarkStart w:id="79" w:name="OLE_LINK178"/>
      <w:r>
        <w:rPr>
          <w:rFonts w:hint="eastAsia"/>
          <w:szCs w:val="32"/>
        </w:rPr>
        <w:t>充分发挥“组团式”医疗援藏优势，稳步推进县域紧密型医共体建设，</w:t>
      </w:r>
      <w:bookmarkStart w:id="80" w:name="OLE_LINK185"/>
      <w:r>
        <w:rPr>
          <w:szCs w:val="32"/>
        </w:rPr>
        <w:t>全县10个乡镇卫生院</w:t>
      </w:r>
      <w:bookmarkEnd w:id="80"/>
      <w:r>
        <w:rPr>
          <w:rFonts w:hint="eastAsia"/>
          <w:szCs w:val="32"/>
        </w:rPr>
        <w:t>均建立</w:t>
      </w:r>
      <w:r>
        <w:rPr>
          <w:szCs w:val="32"/>
        </w:rPr>
        <w:t>藏</w:t>
      </w:r>
      <w:r>
        <w:rPr>
          <w:rFonts w:hint="eastAsia"/>
          <w:szCs w:val="32"/>
        </w:rPr>
        <w:t>药浴馆</w:t>
      </w:r>
      <w:r>
        <w:rPr>
          <w:szCs w:val="32"/>
        </w:rPr>
        <w:t>，</w:t>
      </w:r>
      <w:r>
        <w:rPr>
          <w:rFonts w:hint="eastAsia"/>
          <w:szCs w:val="32"/>
        </w:rPr>
        <w:t>创县域“二甲”工作稳步推进，</w:t>
      </w:r>
      <w:r>
        <w:rPr>
          <w:szCs w:val="32"/>
        </w:rPr>
        <w:t>农牧民群众实现“家门口”就医</w:t>
      </w:r>
      <w:bookmarkEnd w:id="78"/>
      <w:r>
        <w:rPr>
          <w:szCs w:val="32"/>
        </w:rPr>
        <w:t>。</w:t>
      </w:r>
      <w:bookmarkStart w:id="81" w:name="OLE_LINK186"/>
      <w:r>
        <w:rPr>
          <w:szCs w:val="32"/>
        </w:rPr>
        <w:t>建成</w:t>
      </w:r>
      <w:r>
        <w:rPr>
          <w:rFonts w:hint="eastAsia"/>
          <w:szCs w:val="32"/>
        </w:rPr>
        <w:t>投用</w:t>
      </w:r>
      <w:r>
        <w:rPr>
          <w:szCs w:val="32"/>
        </w:rPr>
        <w:t>中心血库，提升改造多座乡镇卫生院，医疗救助体系逐步完善。</w:t>
      </w:r>
      <w:bookmarkEnd w:id="81"/>
      <w:r>
        <w:rPr>
          <w:szCs w:val="32"/>
        </w:rPr>
        <w:t>远程智慧医疗体系不断健全，医共体建设成效显著</w:t>
      </w:r>
      <w:bookmarkStart w:id="82" w:name="OLE_LINK181"/>
      <w:bookmarkEnd w:id="79"/>
      <w:r>
        <w:rPr>
          <w:szCs w:val="32"/>
        </w:rPr>
        <w:t>，</w:t>
      </w:r>
      <w:bookmarkStart w:id="83" w:name="OLE_LINK211"/>
      <w:r>
        <w:rPr>
          <w:szCs w:val="32"/>
        </w:rPr>
        <w:t>率先在全市实现医保一体化经办服务体系县乡村全覆盖，</w:t>
      </w:r>
      <w:bookmarkEnd w:id="83"/>
      <w:r>
        <w:rPr>
          <w:szCs w:val="32"/>
        </w:rPr>
        <w:t>医保“一站式一单制”结算系统在10个乡镇落地应用并实际结算。</w:t>
      </w:r>
      <w:bookmarkEnd w:id="82"/>
      <w:r>
        <w:rPr>
          <w:szCs w:val="32"/>
        </w:rPr>
        <w:t>县藏医院获评“一级甲等”民族医院。</w:t>
      </w:r>
      <w:r>
        <w:rPr>
          <w:b/>
          <w:bCs/>
          <w:szCs w:val="32"/>
        </w:rPr>
        <w:t>社会保障体系更加健全，</w:t>
      </w:r>
      <w:bookmarkStart w:id="84" w:name="OLE_LINK188"/>
      <w:r>
        <w:rPr>
          <w:szCs w:val="32"/>
        </w:rPr>
        <w:t>扎实开展社会福利和社会救助工作，</w:t>
      </w:r>
      <w:bookmarkStart w:id="85" w:name="OLE_LINK189"/>
      <w:bookmarkEnd w:id="84"/>
      <w:r>
        <w:rPr>
          <w:szCs w:val="32"/>
        </w:rPr>
        <w:t>有意愿特困人员集中供养和孤儿集中收养率达100%，</w:t>
      </w:r>
      <w:bookmarkStart w:id="86" w:name="OLE_LINK190"/>
      <w:bookmarkEnd w:id="85"/>
      <w:r>
        <w:rPr>
          <w:szCs w:val="32"/>
        </w:rPr>
        <w:t>城乡居民基本养老保险参保率达100%</w:t>
      </w:r>
      <w:bookmarkEnd w:id="86"/>
      <w:r>
        <w:rPr>
          <w:szCs w:val="32"/>
        </w:rPr>
        <w:t>，</w:t>
      </w:r>
      <w:bookmarkStart w:id="87" w:name="_Hlk214898921"/>
      <w:r>
        <w:rPr>
          <w:szCs w:val="32"/>
        </w:rPr>
        <w:t>为困难群众发放</w:t>
      </w:r>
      <w:bookmarkStart w:id="88" w:name="OLE_LINK191"/>
      <w:r>
        <w:rPr>
          <w:szCs w:val="32"/>
        </w:rPr>
        <w:t>最低生活保障金、特困人员补助金等各类资金</w:t>
      </w:r>
      <w:bookmarkEnd w:id="88"/>
      <w:r>
        <w:rPr>
          <w:szCs w:val="32"/>
        </w:rPr>
        <w:t>4000</w:t>
      </w:r>
      <w:r>
        <w:rPr>
          <w:rFonts w:hint="eastAsia"/>
          <w:szCs w:val="32"/>
        </w:rPr>
        <w:t>余</w:t>
      </w:r>
      <w:r>
        <w:rPr>
          <w:szCs w:val="32"/>
        </w:rPr>
        <w:t>万元，</w:t>
      </w:r>
      <w:bookmarkStart w:id="89" w:name="OLE_LINK192"/>
      <w:r>
        <w:rPr>
          <w:szCs w:val="32"/>
        </w:rPr>
        <w:t>惠及3</w:t>
      </w:r>
      <w:r>
        <w:rPr>
          <w:rFonts w:hint="eastAsia"/>
          <w:szCs w:val="32"/>
        </w:rPr>
        <w:t>万</w:t>
      </w:r>
      <w:r>
        <w:rPr>
          <w:szCs w:val="32"/>
        </w:rPr>
        <w:t>余名</w:t>
      </w:r>
      <w:bookmarkEnd w:id="89"/>
      <w:r>
        <w:rPr>
          <w:szCs w:val="32"/>
        </w:rPr>
        <w:t>各类救助人员。</w:t>
      </w:r>
      <w:bookmarkStart w:id="90" w:name="OLE_LINK187"/>
      <w:bookmarkEnd w:id="87"/>
      <w:r>
        <w:rPr>
          <w:szCs w:val="32"/>
        </w:rPr>
        <w:t>建成农村幸福院5</w:t>
      </w:r>
      <w:r>
        <w:rPr>
          <w:rFonts w:hint="eastAsia"/>
          <w:szCs w:val="32"/>
        </w:rPr>
        <w:t>座</w:t>
      </w:r>
      <w:r>
        <w:rPr>
          <w:szCs w:val="32"/>
        </w:rPr>
        <w:t>，</w:t>
      </w:r>
      <w:r>
        <w:rPr>
          <w:rFonts w:hint="eastAsia"/>
          <w:szCs w:val="32"/>
        </w:rPr>
        <w:t>实施特困人员集中供养服务提升改造项目，建成</w:t>
      </w:r>
      <w:r>
        <w:rPr>
          <w:szCs w:val="32"/>
        </w:rPr>
        <w:t>康复理疗室2个，</w:t>
      </w:r>
      <w:r>
        <w:rPr>
          <w:rFonts w:hint="eastAsia"/>
          <w:szCs w:val="32"/>
        </w:rPr>
        <w:t>推进</w:t>
      </w:r>
      <w:r>
        <w:rPr>
          <w:szCs w:val="32"/>
        </w:rPr>
        <w:t>县级残疾儿童康复训练项目，举办首届残疾人文化体育运动会，</w:t>
      </w:r>
      <w:r>
        <w:rPr>
          <w:rFonts w:hint="eastAsia"/>
          <w:szCs w:val="32"/>
        </w:rPr>
        <w:t>全国残疾人先进工作集体、全国养老助老先进个人、全国第二批美丽工坊落地波密，</w:t>
      </w:r>
      <w:r>
        <w:rPr>
          <w:szCs w:val="32"/>
        </w:rPr>
        <w:t>“一老一小”保障水平持续提高。</w:t>
      </w:r>
      <w:bookmarkEnd w:id="90"/>
    </w:p>
    <w:p>
      <w:pPr>
        <w:adjustRightInd w:val="0"/>
        <w:snapToGrid w:val="0"/>
        <w:rPr>
          <w:szCs w:val="32"/>
        </w:rPr>
      </w:pPr>
      <w:r>
        <w:rPr>
          <w:rFonts w:eastAsia="楷体_GB2312"/>
          <w:b/>
          <w:bCs/>
          <w:szCs w:val="32"/>
        </w:rPr>
        <w:t>生态文明建设稳步推进。</w:t>
      </w:r>
      <w:r>
        <w:rPr>
          <w:rFonts w:hint="eastAsia"/>
          <w:szCs w:val="32"/>
        </w:rPr>
        <w:t>“十四五”期间</w:t>
      </w:r>
      <w:r>
        <w:rPr>
          <w:szCs w:val="32"/>
        </w:rPr>
        <w:t>，波密县建立并创新实施</w:t>
      </w:r>
      <w:bookmarkStart w:id="91" w:name="OLE_LINK276"/>
      <w:r>
        <w:rPr>
          <w:szCs w:val="32"/>
        </w:rPr>
        <w:t>“</w:t>
      </w:r>
      <w:r>
        <w:rPr>
          <w:rFonts w:hint="eastAsia"/>
          <w:szCs w:val="32"/>
        </w:rPr>
        <w:t>河（湖）长</w:t>
      </w:r>
      <w:r>
        <w:rPr>
          <w:szCs w:val="32"/>
        </w:rPr>
        <w:t>+</w:t>
      </w:r>
      <w:r>
        <w:rPr>
          <w:rFonts w:hint="eastAsia"/>
          <w:szCs w:val="32"/>
        </w:rPr>
        <w:t>检察长</w:t>
      </w:r>
      <w:r>
        <w:rPr>
          <w:szCs w:val="32"/>
        </w:rPr>
        <w:t>+</w:t>
      </w:r>
      <w:r>
        <w:rPr>
          <w:rFonts w:hint="eastAsia"/>
          <w:szCs w:val="32"/>
        </w:rPr>
        <w:t>警长</w:t>
      </w:r>
      <w:r>
        <w:rPr>
          <w:szCs w:val="32"/>
        </w:rPr>
        <w:t>”</w:t>
      </w:r>
      <w:r>
        <w:rPr>
          <w:rFonts w:hint="eastAsia"/>
          <w:szCs w:val="32"/>
        </w:rPr>
        <w:t>机</w:t>
      </w:r>
      <w:r>
        <w:rPr>
          <w:szCs w:val="32"/>
        </w:rPr>
        <w:t>制，被自治区列入全区河（湖）长制度建设亮点，荣获第六批生态文明建设示范区称号，</w:t>
      </w:r>
      <w:bookmarkEnd w:id="91"/>
      <w:r>
        <w:rPr>
          <w:szCs w:val="32"/>
        </w:rPr>
        <w:t>多个</w:t>
      </w:r>
      <w:bookmarkStart w:id="92" w:name="OLE_LINK277"/>
      <w:r>
        <w:rPr>
          <w:szCs w:val="32"/>
        </w:rPr>
        <w:t>行政村分别荣获自治区级生态文明建设示范乡（镇）、村（居）称号</w:t>
      </w:r>
      <w:bookmarkEnd w:id="92"/>
      <w:r>
        <w:rPr>
          <w:szCs w:val="32"/>
        </w:rPr>
        <w:t>。</w:t>
      </w:r>
      <w:bookmarkStart w:id="93" w:name="OLE_LINK278"/>
      <w:r>
        <w:rPr>
          <w:szCs w:val="32"/>
        </w:rPr>
        <w:t>波密县被市委、市政府确定为全市首个碳汇经济试点</w:t>
      </w:r>
      <w:r>
        <w:rPr>
          <w:rFonts w:hint="eastAsia"/>
          <w:szCs w:val="32"/>
        </w:rPr>
        <w:t>县</w:t>
      </w:r>
      <w:r>
        <w:rPr>
          <w:szCs w:val="32"/>
        </w:rPr>
        <w:t>。</w:t>
      </w:r>
      <w:bookmarkStart w:id="94" w:name="OLE_LINK279"/>
      <w:bookmarkEnd w:id="93"/>
      <w:r>
        <w:rPr>
          <w:rFonts w:hint="eastAsia"/>
          <w:szCs w:val="32"/>
        </w:rPr>
        <w:t>松宗镇和松宗镇纳玉村荣获全国文明村镇称号。</w:t>
      </w:r>
      <w:r>
        <w:rPr>
          <w:szCs w:val="32"/>
        </w:rPr>
        <w:t>颁布实施《波密县“十四五”农村污水处理规划》，</w:t>
      </w:r>
      <w:bookmarkEnd w:id="94"/>
      <w:r>
        <w:rPr>
          <w:rFonts w:hint="eastAsia"/>
          <w:szCs w:val="32"/>
        </w:rPr>
        <w:t>新建玉许、倾多及松宗污水处理厂，统筹推进</w:t>
      </w:r>
      <w:r>
        <w:rPr>
          <w:szCs w:val="32"/>
        </w:rPr>
        <w:t>23</w:t>
      </w:r>
      <w:r>
        <w:rPr>
          <w:rFonts w:hint="eastAsia"/>
          <w:szCs w:val="32"/>
        </w:rPr>
        <w:t>项污水点源治理节点工程，实现排污整治全覆盖。</w:t>
      </w:r>
      <w:bookmarkStart w:id="95" w:name="OLE_LINK281"/>
      <w:r>
        <w:rPr>
          <w:szCs w:val="32"/>
        </w:rPr>
        <w:t>推进河道砂石资源统一经营管理，河湖“四乱”问题得到有效治理。</w:t>
      </w:r>
      <w:bookmarkStart w:id="96" w:name="OLE_LINK282"/>
      <w:bookmarkEnd w:id="95"/>
      <w:r>
        <w:rPr>
          <w:szCs w:val="32"/>
        </w:rPr>
        <w:t>积极推进国土空间规划，</w:t>
      </w:r>
      <w:bookmarkStart w:id="97" w:name="OLE_LINK283"/>
      <w:bookmarkEnd w:id="96"/>
      <w:r>
        <w:rPr>
          <w:szCs w:val="32"/>
        </w:rPr>
        <w:t>完成“三区三线”划定工作，</w:t>
      </w:r>
      <w:bookmarkStart w:id="98" w:name="OLE_LINK284"/>
      <w:bookmarkEnd w:id="97"/>
      <w:r>
        <w:rPr>
          <w:szCs w:val="32"/>
        </w:rPr>
        <w:t>信息平台建设数据库“一张图”基本完成。</w:t>
      </w:r>
      <w:bookmarkStart w:id="99" w:name="OLE_LINK262"/>
      <w:bookmarkStart w:id="100" w:name="OLE_LINK285"/>
      <w:bookmarkEnd w:id="98"/>
      <w:r>
        <w:rPr>
          <w:szCs w:val="32"/>
        </w:rPr>
        <w:t>在全区率先</w:t>
      </w:r>
      <w:r>
        <w:rPr>
          <w:rFonts w:hint="eastAsia"/>
          <w:szCs w:val="32"/>
        </w:rPr>
        <w:t>落地</w:t>
      </w:r>
      <w:r>
        <w:rPr>
          <w:szCs w:val="32"/>
        </w:rPr>
        <w:t>垃圾填埋场HDPE膜覆盖工艺</w:t>
      </w:r>
      <w:bookmarkStart w:id="101" w:name="OLE_LINK269"/>
      <w:bookmarkEnd w:id="99"/>
      <w:r>
        <w:rPr>
          <w:szCs w:val="32"/>
        </w:rPr>
        <w:t>，</w:t>
      </w:r>
      <w:r>
        <w:rPr>
          <w:rFonts w:hint="eastAsia"/>
          <w:szCs w:val="32"/>
        </w:rPr>
        <w:t>实现</w:t>
      </w:r>
      <w:r>
        <w:rPr>
          <w:szCs w:val="32"/>
        </w:rPr>
        <w:t>10</w:t>
      </w:r>
      <w:r>
        <w:rPr>
          <w:rFonts w:hint="eastAsia"/>
          <w:szCs w:val="32"/>
        </w:rPr>
        <w:t>个</w:t>
      </w:r>
      <w:r>
        <w:rPr>
          <w:szCs w:val="32"/>
        </w:rPr>
        <w:t>乡镇垃圾收运全覆盖</w:t>
      </w:r>
      <w:bookmarkStart w:id="102" w:name="OLE_LINK274"/>
      <w:bookmarkEnd w:id="100"/>
      <w:bookmarkEnd w:id="101"/>
      <w:r>
        <w:rPr>
          <w:szCs w:val="32"/>
        </w:rPr>
        <w:t>，乡镇生活垃圾无害化处理项目有序推进。积极开展森林抚育项目，</w:t>
      </w:r>
      <w:bookmarkStart w:id="103" w:name="OLE_LINK286"/>
      <w:r>
        <w:rPr>
          <w:szCs w:val="32"/>
        </w:rPr>
        <w:t>扎实推动国家森林城市创建工作，</w:t>
      </w:r>
      <w:bookmarkStart w:id="104" w:name="OLE_LINK287"/>
      <w:bookmarkEnd w:id="103"/>
      <w:r>
        <w:rPr>
          <w:szCs w:val="32"/>
        </w:rPr>
        <w:t>实施嘎朗国家湿地公园湿地保护与恢复工程，</w:t>
      </w:r>
      <w:bookmarkStart w:id="105" w:name="OLE_LINK288"/>
      <w:bookmarkEnd w:id="104"/>
      <w:r>
        <w:rPr>
          <w:szCs w:val="32"/>
        </w:rPr>
        <w:t>积极开展国土绿化行动，</w:t>
      </w:r>
      <w:bookmarkEnd w:id="105"/>
      <w:r>
        <w:rPr>
          <w:szCs w:val="32"/>
        </w:rPr>
        <w:t>累计完成植树造林2000余亩</w:t>
      </w:r>
      <w:bookmarkEnd w:id="102"/>
      <w:r>
        <w:rPr>
          <w:szCs w:val="32"/>
        </w:rPr>
        <w:t>。</w:t>
      </w:r>
      <w:bookmarkStart w:id="106" w:name="OLE_LINK290"/>
      <w:r>
        <w:rPr>
          <w:rFonts w:hint="eastAsia"/>
          <w:szCs w:val="32"/>
        </w:rPr>
        <w:t>全县</w:t>
      </w:r>
      <w:r>
        <w:rPr>
          <w:szCs w:val="32"/>
        </w:rPr>
        <w:t>空气质量达2</w:t>
      </w:r>
      <w:r>
        <w:rPr>
          <w:rFonts w:hint="eastAsia"/>
          <w:szCs w:val="32"/>
        </w:rPr>
        <w:t>级</w:t>
      </w:r>
      <w:r>
        <w:rPr>
          <w:szCs w:val="32"/>
        </w:rPr>
        <w:t>标准</w:t>
      </w:r>
      <w:bookmarkEnd w:id="106"/>
      <w:r>
        <w:rPr>
          <w:szCs w:val="32"/>
        </w:rPr>
        <w:t>，</w:t>
      </w:r>
      <w:bookmarkStart w:id="107" w:name="OLE_LINK292"/>
      <w:r>
        <w:rPr>
          <w:szCs w:val="32"/>
        </w:rPr>
        <w:t>饮用水、地表水均达到或优于III类水质标准</w:t>
      </w:r>
      <w:bookmarkStart w:id="108" w:name="OLE_LINK293"/>
      <w:bookmarkEnd w:id="107"/>
      <w:r>
        <w:rPr>
          <w:szCs w:val="32"/>
        </w:rPr>
        <w:t>。</w:t>
      </w:r>
      <w:bookmarkEnd w:id="108"/>
    </w:p>
    <w:p>
      <w:pPr>
        <w:adjustRightInd w:val="0"/>
        <w:snapToGrid w:val="0"/>
        <w:ind w:firstLineChars="0" w:firstLine="600"/>
        <w:rPr>
          <w:szCs w:val="32"/>
        </w:rPr>
      </w:pPr>
      <w:r>
        <w:rPr>
          <w:rFonts w:eastAsia="楷体_GB2312"/>
          <w:b/>
          <w:bCs/>
          <w:szCs w:val="32"/>
        </w:rPr>
        <w:t>改革发展活力持续释放。</w:t>
      </w:r>
      <w:bookmarkStart w:id="109" w:name="OLE_LINK296"/>
      <w:r>
        <w:rPr>
          <w:b/>
          <w:bCs/>
          <w:szCs w:val="32"/>
        </w:rPr>
        <w:t>经济体制改革不断</w:t>
      </w:r>
      <w:r>
        <w:rPr>
          <w:rFonts w:hint="eastAsia"/>
          <w:b/>
          <w:bCs/>
          <w:szCs w:val="32"/>
        </w:rPr>
        <w:t>推进</w:t>
      </w:r>
      <w:r>
        <w:rPr>
          <w:b/>
          <w:bCs/>
          <w:szCs w:val="32"/>
        </w:rPr>
        <w:t>，</w:t>
      </w:r>
      <w:bookmarkStart w:id="110" w:name="OLE_LINK306"/>
      <w:r>
        <w:rPr>
          <w:rFonts w:hint="eastAsia"/>
          <w:szCs w:val="32"/>
        </w:rPr>
        <w:t>持续推进国企领域改革，组建国企联合董事会、联合党支部，优化国企运行机制、人事薪酬管理制度，将</w:t>
      </w:r>
      <w:r>
        <w:rPr>
          <w:szCs w:val="32"/>
        </w:rPr>
        <w:t>13</w:t>
      </w:r>
      <w:r>
        <w:rPr>
          <w:rFonts w:hint="eastAsia"/>
          <w:szCs w:val="32"/>
        </w:rPr>
        <w:t>家国企重组为</w:t>
      </w:r>
      <w:r>
        <w:rPr>
          <w:szCs w:val="32"/>
        </w:rPr>
        <w:t>5</w:t>
      </w:r>
      <w:r>
        <w:rPr>
          <w:rFonts w:hint="eastAsia"/>
          <w:szCs w:val="32"/>
        </w:rPr>
        <w:t>家，实现营业收入连续</w:t>
      </w:r>
      <w:r>
        <w:rPr>
          <w:szCs w:val="32"/>
        </w:rPr>
        <w:t>3</w:t>
      </w:r>
      <w:r>
        <w:rPr>
          <w:rFonts w:hint="eastAsia"/>
          <w:szCs w:val="32"/>
        </w:rPr>
        <w:t>年稳定增长。</w:t>
      </w:r>
      <w:bookmarkStart w:id="111" w:name="OLE_LINK308"/>
      <w:bookmarkEnd w:id="110"/>
      <w:r>
        <w:rPr>
          <w:szCs w:val="32"/>
        </w:rPr>
        <w:t>推出全区首个县级问政栏目《问政波密》。</w:t>
      </w:r>
      <w:bookmarkStart w:id="112" w:name="OLE_LINK311"/>
      <w:bookmarkEnd w:id="111"/>
      <w:r>
        <w:rPr>
          <w:szCs w:val="32"/>
        </w:rPr>
        <w:t>完善突发公共事件总体应急预案和13</w:t>
      </w:r>
      <w:r>
        <w:rPr>
          <w:rFonts w:hint="eastAsia"/>
          <w:szCs w:val="32"/>
        </w:rPr>
        <w:t>个</w:t>
      </w:r>
      <w:r>
        <w:rPr>
          <w:szCs w:val="32"/>
        </w:rPr>
        <w:t>专项应急预案，</w:t>
      </w:r>
      <w:bookmarkStart w:id="113" w:name="OLE_LINK312"/>
      <w:bookmarkEnd w:id="112"/>
      <w:r>
        <w:rPr>
          <w:szCs w:val="32"/>
        </w:rPr>
        <w:t>积极推进危险化学品企业搬迁，加大自然灾害、森林防火应急演练</w:t>
      </w:r>
      <w:bookmarkStart w:id="114" w:name="OLE_LINK297"/>
      <w:bookmarkEnd w:id="109"/>
      <w:bookmarkEnd w:id="113"/>
      <w:r>
        <w:rPr>
          <w:szCs w:val="32"/>
        </w:rPr>
        <w:t>，连续多年未发生森林火灾事件。</w:t>
      </w:r>
      <w:bookmarkStart w:id="115" w:name="OLE_LINK313"/>
      <w:r>
        <w:rPr>
          <w:b/>
          <w:bCs/>
          <w:szCs w:val="32"/>
        </w:rPr>
        <w:t>科技创新政策体系</w:t>
      </w:r>
      <w:r>
        <w:rPr>
          <w:rFonts w:hint="eastAsia"/>
          <w:b/>
          <w:bCs/>
          <w:szCs w:val="32"/>
        </w:rPr>
        <w:t>日益</w:t>
      </w:r>
      <w:r>
        <w:rPr>
          <w:b/>
          <w:bCs/>
          <w:szCs w:val="32"/>
        </w:rPr>
        <w:t>完善，</w:t>
      </w:r>
      <w:bookmarkStart w:id="116" w:name="OLE_LINK314"/>
      <w:r>
        <w:rPr>
          <w:szCs w:val="32"/>
        </w:rPr>
        <w:t>加大科技赋能，野生天麻良种繁育、灵芝孢子粉智能采集技术应用和生产取得阶段性成果，</w:t>
      </w:r>
      <w:bookmarkStart w:id="117" w:name="OLE_LINK315"/>
      <w:bookmarkEnd w:id="116"/>
      <w:r>
        <w:rPr>
          <w:szCs w:val="32"/>
        </w:rPr>
        <w:t>波密天麻林下野生抚育科普教育基地入选2021-2025年第一批中国农村专业技术协会科普教育基地。</w:t>
      </w:r>
      <w:bookmarkStart w:id="118" w:name="OLE_LINK316"/>
      <w:bookmarkEnd w:id="117"/>
      <w:r>
        <w:rPr>
          <w:szCs w:val="32"/>
        </w:rPr>
        <w:t>积极参加“广博会”等推介活动，助力企业打通销售渠道、打响产品品牌，开拓“粤港澳大湾区”市场，实现了林芝农特产品进入香港市场“零”突破。</w:t>
      </w:r>
      <w:bookmarkEnd w:id="115"/>
      <w:bookmarkEnd w:id="118"/>
      <w:r>
        <w:rPr>
          <w:rFonts w:hint="eastAsia"/>
          <w:szCs w:val="32"/>
        </w:rPr>
        <w:t>率先编制完成县域低空经济发展规划，全区首个低空应用场景项目落地实施。</w:t>
      </w:r>
      <w:r>
        <w:rPr>
          <w:rFonts w:hint="eastAsia"/>
          <w:b/>
          <w:bCs/>
          <w:szCs w:val="32"/>
        </w:rPr>
        <w:t>行政体制改革稳步前行，</w:t>
      </w:r>
      <w:bookmarkStart w:id="119" w:name="OLE_LINK317"/>
      <w:r>
        <w:rPr>
          <w:rFonts w:hint="eastAsia"/>
          <w:szCs w:val="32"/>
        </w:rPr>
        <w:t>主动融入林芝推动高质量发展、促进改革开放先行工作大局，先后完成</w:t>
      </w:r>
      <w:r>
        <w:rPr>
          <w:szCs w:val="32"/>
        </w:rPr>
        <w:t>186</w:t>
      </w:r>
      <w:r>
        <w:rPr>
          <w:rFonts w:hint="eastAsia"/>
          <w:szCs w:val="32"/>
        </w:rPr>
        <w:t>项先行改革任务，提炼出“三级和议”群众共商解纷工作法、“五联工作法”、“三快模式”、智慧公安检查站等一批先进典型经验做法。</w:t>
      </w:r>
      <w:bookmarkStart w:id="120" w:name="OLE_LINK318"/>
      <w:bookmarkEnd w:id="119"/>
      <w:r>
        <w:rPr>
          <w:szCs w:val="32"/>
        </w:rPr>
        <w:t>设置“帮办代办”“无差别受理综合窗口”“高频事项窗口”</w:t>
      </w:r>
      <w:bookmarkStart w:id="121" w:name="OLE_LINK319"/>
      <w:bookmarkEnd w:id="120"/>
      <w:r>
        <w:rPr>
          <w:szCs w:val="32"/>
        </w:rPr>
        <w:t>。</w:t>
      </w:r>
      <w:bookmarkStart w:id="122" w:name="_Hlk217397830"/>
      <w:bookmarkEnd w:id="114"/>
      <w:bookmarkEnd w:id="121"/>
      <w:r>
        <w:rPr>
          <w:rFonts w:hint="eastAsia"/>
          <w:szCs w:val="32"/>
        </w:rPr>
        <w:t>财政保障能力稳步提升，波密县财政局获</w:t>
      </w:r>
      <w:r>
        <w:rPr>
          <w:szCs w:val="32"/>
        </w:rPr>
        <w:t>2025</w:t>
      </w:r>
      <w:r>
        <w:rPr>
          <w:rFonts w:hint="eastAsia"/>
          <w:szCs w:val="32"/>
        </w:rPr>
        <w:t>年全国文明单位称号。</w:t>
      </w:r>
    </w:p>
    <w:p>
      <w:pPr>
        <w:adjustRightInd w:val="0"/>
        <w:snapToGrid w:val="0"/>
        <w:rPr>
          <w:szCs w:val="32"/>
        </w:rPr>
      </w:pPr>
      <w:bookmarkEnd w:id="122"/>
      <w:r>
        <w:rPr>
          <w:rFonts w:eastAsia="楷体_GB2312"/>
          <w:b/>
          <w:bCs/>
          <w:szCs w:val="32"/>
        </w:rPr>
        <w:t>社会治理精准高效。</w:t>
      </w:r>
      <w:bookmarkStart w:id="123" w:name="OLE_LINK330"/>
      <w:r>
        <w:rPr>
          <w:szCs w:val="32"/>
        </w:rPr>
        <w:t>健全政府法律顾问制度，建成全市首个行政复议审理室，创新涉企“综合查一次”执法模式，首创行政争议案前调解机制</w:t>
      </w:r>
      <w:bookmarkEnd w:id="123"/>
      <w:r>
        <w:rPr>
          <w:szCs w:val="32"/>
        </w:rPr>
        <w:t>。</w:t>
      </w:r>
      <w:r>
        <w:rPr>
          <w:b/>
          <w:bCs/>
          <w:szCs w:val="32"/>
        </w:rPr>
        <w:t>矛盾纠纷化解初有成效，</w:t>
      </w:r>
      <w:bookmarkStart w:id="124" w:name="OLE_LINK333"/>
      <w:r>
        <w:rPr>
          <w:szCs w:val="32"/>
        </w:rPr>
        <w:t>推广“三级和议”</w:t>
      </w:r>
      <w:r>
        <w:rPr>
          <w:rFonts w:hint="eastAsia"/>
          <w:szCs w:val="32"/>
        </w:rPr>
        <w:t>“</w:t>
      </w:r>
      <w:r>
        <w:rPr>
          <w:szCs w:val="32"/>
        </w:rPr>
        <w:t>3+1</w:t>
      </w:r>
      <w:r>
        <w:rPr>
          <w:rFonts w:hint="eastAsia"/>
          <w:szCs w:val="32"/>
        </w:rPr>
        <w:t>”群众共商解纷工作法，</w:t>
      </w:r>
      <w:bookmarkStart w:id="125" w:name="OLE_LINK325"/>
      <w:r>
        <w:rPr>
          <w:rFonts w:hint="eastAsia"/>
          <w:szCs w:val="32"/>
        </w:rPr>
        <w:t>波密县玉普乡“三级和议”群众共商解纷工作法被中央政法委授予全国新时代“枫桥经验”先进典型</w:t>
      </w:r>
      <w:bookmarkEnd w:id="125"/>
      <w:r>
        <w:rPr>
          <w:rFonts w:hint="eastAsia"/>
          <w:szCs w:val="32"/>
        </w:rPr>
        <w:t>，创新性开展“问计于民、问需于民”下沉式调研活动，率先在全市完成县乡两级综治中心标准化建设，</w:t>
      </w:r>
      <w:r>
        <w:rPr>
          <w:szCs w:val="32"/>
        </w:rPr>
        <w:t>深化拓展“综治+网格警务”工作，创新增设便民服务大厅、</w:t>
      </w:r>
      <w:r>
        <w:rPr>
          <w:rFonts w:hint="eastAsia"/>
          <w:szCs w:val="32"/>
        </w:rPr>
        <w:t>普</w:t>
      </w:r>
      <w:r>
        <w:rPr>
          <w:szCs w:val="32"/>
        </w:rPr>
        <w:t>法超市。</w:t>
      </w:r>
      <w:r>
        <w:rPr>
          <w:rFonts w:hint="eastAsia"/>
          <w:szCs w:val="32"/>
        </w:rPr>
        <w:t>“十四五”期间，受理各类信访事项和矛盾纠纷近</w:t>
      </w:r>
      <w:r>
        <w:rPr>
          <w:szCs w:val="32"/>
        </w:rPr>
        <w:t>4000</w:t>
      </w:r>
      <w:r>
        <w:rPr>
          <w:rFonts w:hint="eastAsia"/>
          <w:szCs w:val="32"/>
        </w:rPr>
        <w:t>起，办结率保持在</w:t>
      </w:r>
      <w:r>
        <w:rPr>
          <w:szCs w:val="32"/>
        </w:rPr>
        <w:t>97%</w:t>
      </w:r>
      <w:r>
        <w:rPr>
          <w:rFonts w:hint="eastAsia"/>
          <w:szCs w:val="32"/>
        </w:rPr>
        <w:t>以上，波密县荣获全国信访工作示范县。</w:t>
      </w:r>
      <w:bookmarkStart w:id="126" w:name="OLE_LINK332"/>
      <w:bookmarkStart w:id="127" w:name="OLE_LINK341"/>
      <w:bookmarkEnd w:id="124"/>
      <w:r>
        <w:rPr>
          <w:b/>
          <w:bCs/>
          <w:szCs w:val="32"/>
        </w:rPr>
        <w:t>基层治理得到有效保障，</w:t>
      </w:r>
      <w:r>
        <w:rPr>
          <w:szCs w:val="32"/>
        </w:rPr>
        <w:t>完成“雪亮工程”</w:t>
      </w:r>
      <w:bookmarkEnd w:id="126"/>
      <w:r>
        <w:rPr>
          <w:szCs w:val="32"/>
        </w:rPr>
        <w:t>建设，</w:t>
      </w:r>
      <w:bookmarkStart w:id="128" w:name="OLE_LINK334"/>
      <w:r>
        <w:rPr>
          <w:szCs w:val="32"/>
        </w:rPr>
        <w:t>实现从区到村五级视频互联</w:t>
      </w:r>
      <w:bookmarkEnd w:id="127"/>
      <w:bookmarkEnd w:id="128"/>
      <w:r>
        <w:rPr>
          <w:szCs w:val="32"/>
        </w:rPr>
        <w:t>，</w:t>
      </w:r>
      <w:bookmarkStart w:id="129" w:name="OLE_LINK342"/>
      <w:r>
        <w:rPr>
          <w:szCs w:val="32"/>
        </w:rPr>
        <w:t>立体网格化防控服务实现城乡全覆盖。</w:t>
      </w:r>
      <w:bookmarkStart w:id="130" w:name="OLE_LINK322"/>
      <w:bookmarkStart w:id="131" w:name="OLE_LINK343"/>
      <w:bookmarkEnd w:id="129"/>
      <w:r>
        <w:rPr>
          <w:szCs w:val="32"/>
        </w:rPr>
        <w:t>深入开展法治宣传教育，建成全市首个标准化社区矫正中心</w:t>
      </w:r>
      <w:bookmarkStart w:id="132" w:name="OLE_LINK324"/>
      <w:bookmarkEnd w:id="130"/>
      <w:r>
        <w:rPr>
          <w:szCs w:val="32"/>
        </w:rPr>
        <w:t>，稳步实施司法责任制综合配套改革，启动“八五”普法</w:t>
      </w:r>
      <w:r>
        <w:rPr>
          <w:rFonts w:hint="eastAsia"/>
          <w:szCs w:val="32"/>
        </w:rPr>
        <w:t>，</w:t>
      </w:r>
      <w:bookmarkStart w:id="133" w:name="OLE_LINK323"/>
      <w:bookmarkStart w:id="134" w:name="OLE_LINK344"/>
      <w:bookmarkEnd w:id="132"/>
      <w:r>
        <w:rPr>
          <w:szCs w:val="32"/>
        </w:rPr>
        <w:t>常态化开展扫黑除恶，电信网络诈骗等各类违法犯罪行为得到有效遏制。</w:t>
      </w:r>
      <w:bookmarkEnd w:id="133"/>
      <w:r>
        <w:rPr>
          <w:b/>
          <w:bCs/>
          <w:szCs w:val="32"/>
        </w:rPr>
        <w:t>民族团结成果显著，</w:t>
      </w:r>
      <w:bookmarkStart w:id="135" w:name="OLE_LINK345"/>
      <w:r>
        <w:rPr>
          <w:szCs w:val="32"/>
        </w:rPr>
        <w:t>波密县入选自治区民族团结进步模范县和2022年林芝市民族团结进步模范集体，</w:t>
      </w:r>
      <w:r>
        <w:rPr>
          <w:rFonts w:hint="eastAsia"/>
          <w:szCs w:val="32"/>
        </w:rPr>
        <w:t>全县民族团结创建工作基本覆盖</w:t>
      </w:r>
      <w:r>
        <w:rPr>
          <w:szCs w:val="32"/>
        </w:rPr>
        <w:t>。</w:t>
      </w:r>
      <w:bookmarkStart w:id="136" w:name="OLE_LINK346"/>
      <w:bookmarkEnd w:id="135"/>
      <w:r>
        <w:rPr>
          <w:szCs w:val="32"/>
        </w:rPr>
        <w:t>创新性提出“九个一批”民族团结工作举措，</w:t>
      </w:r>
      <w:bookmarkEnd w:id="136"/>
      <w:r>
        <w:rPr>
          <w:szCs w:val="32"/>
        </w:rPr>
        <w:t>命名多个</w:t>
      </w:r>
      <w:bookmarkStart w:id="137" w:name="OLE_LINK347"/>
      <w:r>
        <w:rPr>
          <w:szCs w:val="32"/>
        </w:rPr>
        <w:t>本级民族团结模范集体</w:t>
      </w:r>
      <w:bookmarkEnd w:id="137"/>
      <w:r>
        <w:rPr>
          <w:szCs w:val="32"/>
        </w:rPr>
        <w:t>和</w:t>
      </w:r>
      <w:bookmarkStart w:id="138" w:name="OLE_LINK348"/>
      <w:r>
        <w:rPr>
          <w:szCs w:val="32"/>
        </w:rPr>
        <w:t>模范家庭</w:t>
      </w:r>
      <w:bookmarkEnd w:id="138"/>
      <w:r>
        <w:rPr>
          <w:szCs w:val="32"/>
        </w:rPr>
        <w:t>，</w:t>
      </w:r>
      <w:bookmarkStart w:id="139" w:name="OLE_LINK349"/>
      <w:r>
        <w:rPr>
          <w:szCs w:val="32"/>
        </w:rPr>
        <w:t>模范区创建覆盖面和纵深度</w:t>
      </w:r>
      <w:r>
        <w:rPr>
          <w:rFonts w:hint="eastAsia"/>
          <w:szCs w:val="32"/>
        </w:rPr>
        <w:t>得到</w:t>
      </w:r>
      <w:r>
        <w:rPr>
          <w:szCs w:val="32"/>
        </w:rPr>
        <w:t>不断拓展。</w:t>
      </w:r>
      <w:bookmarkEnd w:id="131"/>
      <w:bookmarkEnd w:id="134"/>
      <w:bookmarkEnd w:id="139"/>
    </w:p>
    <w:p>
      <w:pPr>
        <w:adjustRightInd w:val="0"/>
        <w:snapToGrid w:val="0"/>
        <w:rPr>
          <w:szCs w:val="32"/>
        </w:rPr>
        <w:sectPr>
          <w:footerReference w:type="default" r:id="rId8"/>
          <w:footnotePr/>
          <w:pgSz w:w="11906" w:h="16838"/>
          <w:pgMar w:top="1440" w:right="1797" w:bottom="1440" w:left="1797" w:header="851" w:footer="680" w:gutter="0"/>
          <w:pgNumType w:start="1"/>
          <w:cols w:num="1" w:space="425"/>
          <w:docGrid w:type="lines" w:linePitch="381" w:charSpace="0"/>
        </w:sectPr>
      </w:pPr>
      <w:r>
        <w:rPr>
          <w:rFonts w:eastAsia="楷体_GB2312" w:hint="eastAsia"/>
          <w:b/>
          <w:bCs/>
          <w:szCs w:val="32"/>
        </w:rPr>
        <w:t>党的领导和党的建设全面加强。</w:t>
      </w:r>
      <w:r>
        <w:rPr>
          <w:rFonts w:hint="eastAsia"/>
          <w:szCs w:val="32"/>
        </w:rPr>
        <w:t>基层党组织凝聚力、战斗力持续提升，作风建设、党风廉政建设和反腐败斗争深入推进，党在基层的执政基础不断夯实。这些成就的取得，根本在于以习近平同志为核心的党中央领航掌舵，在于习近平新时代中国特色社会主义思想特别是新时代党的治藏方略的科学指引，更在于全县各族干部群众的团结奋斗。</w:t>
      </w:r>
    </w:p>
    <w:tbl>
      <w:tblPr>
        <w:jc w:val="left"/>
        <w:tblW w:w="8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988"/>
        <w:gridCol w:w="3543"/>
        <w:gridCol w:w="942"/>
        <w:gridCol w:w="947"/>
        <w:gridCol w:w="943"/>
        <w:gridCol w:w="948"/>
      </w:tblGrid>
      <w:tr>
        <w:trPr>
          <w:trHeight w:val="397"/>
        </w:trPr>
        <w:tc>
          <w:tcPr>
            <w:tcW w:w="8306" w:type="dxa"/>
            <w:gridSpan w:val="6"/>
            <w:vAlign w:val="center"/>
          </w:tcPr>
          <w:p>
            <w:pPr>
              <w:widowControl/>
              <w:adjustRightInd w:val="0"/>
              <w:snapToGrid w:val="0"/>
              <w:spacing w:line="240" w:lineRule="auto"/>
              <w:ind w:firstLineChars="0" w:firstLine="0"/>
              <w:jc w:val="center"/>
              <w:rPr>
                <w:rFonts w:eastAsia="宋体"/>
                <w:b/>
                <w:bCs/>
                <w:sz w:val="18"/>
                <w:szCs w:val="18"/>
              </w:rPr>
            </w:pPr>
            <w:r>
              <w:rPr>
                <w:rFonts w:eastAsia="宋体" w:hint="eastAsia"/>
                <w:b/>
                <w:bCs/>
                <w:sz w:val="18"/>
                <w:szCs w:val="18"/>
              </w:rPr>
              <w:t>专栏</w:t>
            </w:r>
            <w:r>
              <w:rPr>
                <w:rFonts w:eastAsia="宋体"/>
                <w:b/>
                <w:bCs/>
                <w:sz w:val="18"/>
                <w:szCs w:val="18"/>
              </w:rPr>
              <w:t xml:space="preserve"> 1  </w:t>
            </w:r>
            <w:r>
              <w:rPr>
                <w:rFonts w:eastAsia="宋体" w:hint="eastAsia"/>
                <w:b/>
                <w:bCs/>
                <w:sz w:val="18"/>
                <w:szCs w:val="18"/>
              </w:rPr>
              <w:t>波密县“十四五”时期经济社会发展主要指标完成情况</w:t>
            </w:r>
          </w:p>
        </w:tc>
      </w:tr>
      <w:tr>
        <w:trPr>
          <w:trHeight w:val="397"/>
        </w:trPr>
        <w:tc>
          <w:tcPr>
            <w:tcW w:w="988" w:type="dxa"/>
            <w:vAlign w:val="center"/>
          </w:tcPr>
          <w:p>
            <w:pPr>
              <w:widowControl/>
              <w:adjustRightInd w:val="0"/>
              <w:snapToGrid w:val="0"/>
              <w:spacing w:line="240" w:lineRule="auto"/>
              <w:ind w:firstLineChars="0" w:firstLine="0"/>
              <w:jc w:val="center"/>
              <w:rPr>
                <w:b/>
                <w:bCs/>
                <w:kern w:val="0"/>
                <w:sz w:val="18"/>
                <w:szCs w:val="18"/>
              </w:rPr>
            </w:pPr>
            <w:r>
              <w:rPr>
                <w:b/>
                <w:bCs/>
                <w:kern w:val="0"/>
                <w:sz w:val="18"/>
                <w:szCs w:val="18"/>
              </w:rPr>
              <w:t>类别</w:t>
            </w:r>
          </w:p>
        </w:tc>
        <w:tc>
          <w:tcPr>
            <w:tcW w:w="3543"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jc w:val="center"/>
              <w:rPr>
                <w:b/>
                <w:bCs/>
                <w:kern w:val="0"/>
                <w:sz w:val="18"/>
                <w:szCs w:val="18"/>
              </w:rPr>
            </w:pPr>
            <w:r>
              <w:rPr>
                <w:b/>
                <w:bCs/>
                <w:kern w:val="0"/>
                <w:sz w:val="18"/>
                <w:szCs w:val="18"/>
              </w:rPr>
              <w:t>指标</w:t>
            </w:r>
          </w:p>
        </w:tc>
        <w:tc>
          <w:tcPr>
            <w:tcW w:w="942"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jc w:val="center"/>
              <w:rPr>
                <w:b/>
                <w:bCs/>
                <w:kern w:val="0"/>
                <w:sz w:val="18"/>
                <w:szCs w:val="18"/>
              </w:rPr>
            </w:pPr>
            <w:r>
              <w:rPr>
                <w:b/>
                <w:bCs/>
                <w:kern w:val="0"/>
                <w:sz w:val="18"/>
                <w:szCs w:val="18"/>
              </w:rPr>
              <w:t>2020年</w:t>
            </w:r>
          </w:p>
          <w:p>
            <w:pPr>
              <w:widowControl/>
              <w:adjustRightInd w:val="0"/>
              <w:snapToGrid w:val="0"/>
              <w:spacing w:line="240" w:lineRule="auto"/>
              <w:ind w:firstLineChars="0" w:firstLine="0"/>
              <w:jc w:val="center"/>
              <w:rPr>
                <w:b/>
                <w:bCs/>
                <w:kern w:val="0"/>
                <w:sz w:val="18"/>
                <w:szCs w:val="18"/>
              </w:rPr>
            </w:pPr>
            <w:r>
              <w:rPr>
                <w:b/>
                <w:bCs/>
                <w:kern w:val="0"/>
                <w:sz w:val="18"/>
                <w:szCs w:val="18"/>
              </w:rPr>
              <w:t>实际</w:t>
            </w:r>
          </w:p>
        </w:tc>
        <w:tc>
          <w:tcPr>
            <w:tcW w:w="947"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jc w:val="center"/>
              <w:rPr>
                <w:b/>
                <w:bCs/>
                <w:kern w:val="0"/>
                <w:sz w:val="18"/>
                <w:szCs w:val="18"/>
              </w:rPr>
            </w:pPr>
            <w:r>
              <w:rPr>
                <w:b/>
                <w:bCs/>
                <w:kern w:val="0"/>
                <w:sz w:val="18"/>
                <w:szCs w:val="18"/>
              </w:rPr>
              <w:t>2025年目标</w:t>
            </w:r>
          </w:p>
        </w:tc>
        <w:tc>
          <w:tcPr>
            <w:tcW w:w="943"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jc w:val="center"/>
              <w:rPr>
                <w:b/>
                <w:bCs/>
                <w:kern w:val="0"/>
                <w:sz w:val="18"/>
                <w:szCs w:val="18"/>
              </w:rPr>
            </w:pPr>
            <w:r>
              <w:rPr>
                <w:b/>
                <w:bCs/>
                <w:kern w:val="0"/>
                <w:sz w:val="18"/>
                <w:szCs w:val="18"/>
              </w:rPr>
              <w:t>2025年</w:t>
            </w:r>
          </w:p>
          <w:p>
            <w:pPr>
              <w:widowControl/>
              <w:adjustRightInd w:val="0"/>
              <w:snapToGrid w:val="0"/>
              <w:spacing w:line="240" w:lineRule="auto"/>
              <w:ind w:firstLineChars="0" w:firstLine="0"/>
              <w:jc w:val="center"/>
              <w:rPr>
                <w:b/>
                <w:bCs/>
                <w:kern w:val="0"/>
                <w:sz w:val="18"/>
                <w:szCs w:val="18"/>
              </w:rPr>
            </w:pPr>
            <w:r>
              <w:rPr>
                <w:b/>
                <w:bCs/>
                <w:kern w:val="0"/>
                <w:sz w:val="18"/>
                <w:szCs w:val="18"/>
              </w:rPr>
              <w:t>实际</w:t>
            </w:r>
          </w:p>
        </w:tc>
        <w:tc>
          <w:tcPr>
            <w:tcW w:w="943" w:type="dxa"/>
            <w:vAlign w:val="center"/>
          </w:tcPr>
          <w:p>
            <w:pPr>
              <w:widowControl/>
              <w:spacing w:line="300" w:lineRule="exact"/>
              <w:ind w:firstLineChars="0" w:firstLine="0"/>
              <w:jc w:val="center"/>
              <w:textAlignment w:val="center"/>
              <w:rPr>
                <w:b/>
                <w:bCs/>
                <w:kern w:val="0"/>
                <w:sz w:val="18"/>
                <w:szCs w:val="18"/>
              </w:rPr>
            </w:pPr>
            <w:r>
              <w:rPr>
                <w:b/>
                <w:bCs/>
                <w:sz w:val="18"/>
                <w:szCs w:val="18"/>
              </w:rPr>
              <w:t>指标属性</w:t>
            </w:r>
          </w:p>
        </w:tc>
      </w:tr>
      <w:tr>
        <w:trPr>
          <w:trHeight w:val="397"/>
        </w:trPr>
        <w:tc>
          <w:tcPr>
            <w:tcW w:w="988" w:type="dxa"/>
            <w:vMerge w:val="restart"/>
            <w:vAlign w:val="center"/>
          </w:tcPr>
          <w:p>
            <w:pPr>
              <w:widowControl/>
              <w:adjustRightInd w:val="0"/>
              <w:snapToGrid w:val="0"/>
              <w:spacing w:line="240" w:lineRule="auto"/>
              <w:ind w:firstLineChars="0" w:firstLine="0"/>
              <w:jc w:val="center"/>
              <w:rPr>
                <w:bCs/>
                <w:kern w:val="0"/>
                <w:sz w:val="18"/>
                <w:szCs w:val="18"/>
              </w:rPr>
            </w:pPr>
            <w:r>
              <w:rPr>
                <w:bCs/>
                <w:kern w:val="0"/>
                <w:sz w:val="18"/>
                <w:szCs w:val="18"/>
              </w:rPr>
              <w:t>经济发展</w:t>
            </w:r>
          </w:p>
          <w:p>
            <w:pPr>
              <w:widowControl/>
              <w:adjustRightInd w:val="0"/>
              <w:snapToGrid w:val="0"/>
              <w:spacing w:line="240" w:lineRule="auto"/>
              <w:ind w:firstLineChars="0" w:firstLine="0"/>
              <w:jc w:val="center"/>
              <w:rPr>
                <w:bCs/>
                <w:kern w:val="0"/>
                <w:sz w:val="18"/>
                <w:szCs w:val="18"/>
              </w:rPr>
            </w:pPr>
            <w:r>
              <w:rPr>
                <w:bCs/>
                <w:kern w:val="0"/>
                <w:sz w:val="18"/>
                <w:szCs w:val="18"/>
              </w:rPr>
              <w:t>（4个）</w:t>
            </w:r>
          </w:p>
        </w:tc>
        <w:tc>
          <w:tcPr>
            <w:tcW w:w="3543"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rPr>
                <w:bCs/>
                <w:kern w:val="0"/>
                <w:sz w:val="18"/>
                <w:szCs w:val="18"/>
              </w:rPr>
            </w:pPr>
            <w:r>
              <w:rPr>
                <w:sz w:val="18"/>
                <w:szCs w:val="18"/>
              </w:rPr>
              <w:t>1、地区生产总值年均增速（%）</w:t>
            </w:r>
          </w:p>
        </w:tc>
        <w:tc>
          <w:tcPr>
            <w:tcW w:w="942" w:type="dxa"/>
            <w:tcBorders>
              <w:top w:val="single" w:sz="4" w:space="0" w:color="auto"/>
              <w:left w:val="single" w:sz="4" w:space="0" w:color="auto"/>
              <w:bottom w:val="single" w:sz="4" w:space="0" w:color="auto"/>
              <w:right w:val="single" w:sz="4" w:space="0" w:color="auto"/>
            </w:tcBorders>
            <w:vAlign w:val="center"/>
          </w:tcPr>
          <w:p>
            <w:pPr>
              <w:spacing w:line="300" w:lineRule="exact"/>
              <w:ind w:firstLineChars="0" w:firstLine="0"/>
              <w:jc w:val="center"/>
              <w:rPr>
                <w:sz w:val="18"/>
                <w:szCs w:val="18"/>
              </w:rPr>
            </w:pPr>
            <w:r>
              <w:rPr>
                <w:sz w:val="18"/>
                <w:szCs w:val="18"/>
              </w:rPr>
              <w:t>11.1</w:t>
            </w:r>
          </w:p>
        </w:tc>
        <w:tc>
          <w:tcPr>
            <w:tcW w:w="947" w:type="dxa"/>
            <w:tcBorders>
              <w:top w:val="single" w:sz="4" w:space="0" w:color="auto"/>
              <w:left w:val="single" w:sz="4" w:space="0" w:color="auto"/>
              <w:bottom w:val="single" w:sz="4" w:space="0" w:color="auto"/>
              <w:right w:val="single" w:sz="4" w:space="0" w:color="auto"/>
            </w:tcBorders>
            <w:vAlign w:val="center"/>
          </w:tcPr>
          <w:p>
            <w:pPr>
              <w:spacing w:line="300" w:lineRule="exact"/>
              <w:ind w:firstLineChars="0" w:firstLine="0"/>
              <w:jc w:val="center"/>
              <w:rPr>
                <w:sz w:val="18"/>
                <w:szCs w:val="18"/>
              </w:rPr>
            </w:pPr>
            <w:r>
              <w:rPr>
                <w:sz w:val="18"/>
                <w:szCs w:val="18"/>
              </w:rPr>
              <w:t>10.0</w:t>
            </w:r>
          </w:p>
        </w:tc>
        <w:tc>
          <w:tcPr>
            <w:tcW w:w="943"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jc w:val="center"/>
              <w:rPr>
                <w:bCs/>
                <w:kern w:val="0"/>
                <w:sz w:val="18"/>
                <w:szCs w:val="18"/>
              </w:rPr>
            </w:pPr>
            <w:r>
              <w:rPr>
                <w:bCs/>
                <w:kern w:val="0"/>
                <w:sz w:val="18"/>
                <w:szCs w:val="18"/>
              </w:rPr>
              <w:t>8.6</w:t>
            </w:r>
          </w:p>
        </w:tc>
        <w:tc>
          <w:tcPr>
            <w:tcW w:w="943" w:type="dxa"/>
            <w:vAlign w:val="center"/>
          </w:tcPr>
          <w:p>
            <w:pPr>
              <w:spacing w:line="300" w:lineRule="exact"/>
              <w:ind w:firstLineChars="0" w:firstLine="0"/>
              <w:jc w:val="center"/>
              <w:rPr>
                <w:sz w:val="18"/>
                <w:szCs w:val="18"/>
              </w:rPr>
            </w:pPr>
            <w:r>
              <w:rPr>
                <w:kern w:val="0"/>
                <w:sz w:val="18"/>
                <w:szCs w:val="18"/>
              </w:rPr>
              <w:t>预期</w:t>
            </w:r>
          </w:p>
        </w:tc>
      </w:tr>
      <w:tr>
        <w:trPr>
          <w:trHeight w:val="397"/>
        </w:trPr>
        <w:tc>
          <w:tcPr>
            <w:tcW w:w="988" w:type="dxa"/>
            <w:vMerge/>
            <w:vAlign w:val="center"/>
          </w:tcPr>
          <w:p/>
        </w:tc>
        <w:tc>
          <w:tcPr>
            <w:tcW w:w="3543"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rPr>
                <w:bCs/>
                <w:kern w:val="0"/>
                <w:sz w:val="18"/>
                <w:szCs w:val="18"/>
              </w:rPr>
            </w:pPr>
            <w:r>
              <w:rPr>
                <w:sz w:val="18"/>
                <w:szCs w:val="18"/>
              </w:rPr>
              <w:t>2、常住人口城镇化率（%）</w:t>
            </w:r>
          </w:p>
        </w:tc>
        <w:tc>
          <w:tcPr>
            <w:tcW w:w="942" w:type="dxa"/>
            <w:tcBorders>
              <w:top w:val="single" w:sz="4" w:space="0" w:color="auto"/>
              <w:left w:val="single" w:sz="4" w:space="0" w:color="auto"/>
              <w:bottom w:val="single" w:sz="4" w:space="0" w:color="auto"/>
              <w:right w:val="single" w:sz="4" w:space="0" w:color="auto"/>
            </w:tcBorders>
            <w:vAlign w:val="center"/>
          </w:tcPr>
          <w:p>
            <w:pPr>
              <w:spacing w:line="300" w:lineRule="exact"/>
              <w:ind w:firstLineChars="0" w:firstLine="0"/>
              <w:jc w:val="center"/>
              <w:rPr>
                <w:sz w:val="18"/>
                <w:szCs w:val="18"/>
              </w:rPr>
            </w:pPr>
            <w:r>
              <w:rPr>
                <w:sz w:val="18"/>
                <w:szCs w:val="18"/>
              </w:rPr>
              <w:t>29.01</w:t>
            </w:r>
          </w:p>
        </w:tc>
        <w:tc>
          <w:tcPr>
            <w:tcW w:w="947" w:type="dxa"/>
            <w:tcBorders>
              <w:top w:val="single" w:sz="4" w:space="0" w:color="auto"/>
              <w:left w:val="single" w:sz="4" w:space="0" w:color="auto"/>
              <w:bottom w:val="single" w:sz="4" w:space="0" w:color="auto"/>
              <w:right w:val="single" w:sz="4" w:space="0" w:color="auto"/>
            </w:tcBorders>
            <w:vAlign w:val="center"/>
          </w:tcPr>
          <w:p>
            <w:pPr>
              <w:spacing w:line="300" w:lineRule="exact"/>
              <w:ind w:firstLineChars="0" w:firstLine="0"/>
              <w:jc w:val="center"/>
              <w:rPr>
                <w:sz w:val="18"/>
                <w:szCs w:val="18"/>
              </w:rPr>
            </w:pPr>
            <w:r>
              <w:rPr>
                <w:rFonts w:hint="eastAsia"/>
                <w:kern w:val="0"/>
                <w:sz w:val="18"/>
                <w:szCs w:val="18"/>
              </w:rPr>
              <w:t>≥</w:t>
            </w:r>
            <w:r>
              <w:rPr>
                <w:kern w:val="0"/>
                <w:sz w:val="18"/>
                <w:szCs w:val="18"/>
              </w:rPr>
              <w:t>46</w:t>
            </w:r>
          </w:p>
        </w:tc>
        <w:tc>
          <w:tcPr>
            <w:tcW w:w="943"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jc w:val="center"/>
              <w:rPr>
                <w:bCs/>
                <w:kern w:val="0"/>
                <w:sz w:val="18"/>
                <w:szCs w:val="18"/>
              </w:rPr>
            </w:pPr>
            <w:r>
              <w:rPr>
                <w:bCs/>
                <w:kern w:val="0"/>
                <w:sz w:val="18"/>
                <w:szCs w:val="18"/>
              </w:rPr>
              <w:t>31.61</w:t>
            </w:r>
          </w:p>
        </w:tc>
        <w:tc>
          <w:tcPr>
            <w:tcW w:w="943" w:type="dxa"/>
            <w:vAlign w:val="center"/>
          </w:tcPr>
          <w:p>
            <w:pPr>
              <w:spacing w:line="300" w:lineRule="exact"/>
              <w:ind w:firstLineChars="0" w:firstLine="0"/>
              <w:jc w:val="center"/>
              <w:rPr>
                <w:sz w:val="18"/>
                <w:szCs w:val="18"/>
              </w:rPr>
            </w:pPr>
            <w:r>
              <w:rPr>
                <w:kern w:val="0"/>
                <w:sz w:val="18"/>
                <w:szCs w:val="18"/>
              </w:rPr>
              <w:t>预期</w:t>
            </w:r>
          </w:p>
        </w:tc>
      </w:tr>
      <w:tr>
        <w:trPr>
          <w:trHeight w:val="397"/>
        </w:trPr>
        <w:tc>
          <w:tcPr>
            <w:tcW w:w="988" w:type="dxa"/>
            <w:vMerge/>
            <w:vAlign w:val="center"/>
          </w:tcPr>
          <w:p/>
        </w:tc>
        <w:tc>
          <w:tcPr>
            <w:tcW w:w="3543"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rPr>
                <w:bCs/>
                <w:kern w:val="0"/>
                <w:sz w:val="18"/>
                <w:szCs w:val="18"/>
              </w:rPr>
            </w:pPr>
            <w:r>
              <w:rPr>
                <w:sz w:val="18"/>
                <w:szCs w:val="18"/>
              </w:rPr>
              <w:t>3、服务业增加值比重（%）</w:t>
            </w:r>
          </w:p>
        </w:tc>
        <w:tc>
          <w:tcPr>
            <w:tcW w:w="942" w:type="dxa"/>
            <w:tcBorders>
              <w:top w:val="single" w:sz="4" w:space="0" w:color="auto"/>
              <w:left w:val="single" w:sz="4" w:space="0" w:color="auto"/>
              <w:bottom w:val="single" w:sz="4" w:space="0" w:color="auto"/>
              <w:right w:val="single" w:sz="4" w:space="0" w:color="auto"/>
            </w:tcBorders>
            <w:vAlign w:val="center"/>
          </w:tcPr>
          <w:p>
            <w:pPr>
              <w:spacing w:line="300" w:lineRule="exact"/>
              <w:ind w:firstLineChars="0" w:firstLine="0"/>
              <w:jc w:val="center"/>
              <w:rPr>
                <w:sz w:val="18"/>
                <w:szCs w:val="18"/>
              </w:rPr>
            </w:pPr>
            <w:r>
              <w:rPr>
                <w:sz w:val="18"/>
                <w:szCs w:val="18"/>
              </w:rPr>
              <w:t>54</w:t>
            </w:r>
          </w:p>
        </w:tc>
        <w:tc>
          <w:tcPr>
            <w:tcW w:w="947" w:type="dxa"/>
            <w:tcBorders>
              <w:top w:val="single" w:sz="4" w:space="0" w:color="auto"/>
              <w:left w:val="single" w:sz="4" w:space="0" w:color="auto"/>
              <w:bottom w:val="single" w:sz="4" w:space="0" w:color="auto"/>
              <w:right w:val="single" w:sz="4" w:space="0" w:color="auto"/>
            </w:tcBorders>
            <w:vAlign w:val="center"/>
          </w:tcPr>
          <w:p>
            <w:pPr>
              <w:spacing w:line="300" w:lineRule="exact"/>
              <w:ind w:firstLineChars="0" w:firstLine="0"/>
              <w:jc w:val="center"/>
              <w:rPr>
                <w:sz w:val="18"/>
                <w:szCs w:val="18"/>
              </w:rPr>
            </w:pPr>
            <w:r>
              <w:rPr>
                <w:kern w:val="0"/>
                <w:sz w:val="18"/>
                <w:szCs w:val="18"/>
              </w:rPr>
              <w:t>57</w:t>
            </w:r>
          </w:p>
        </w:tc>
        <w:tc>
          <w:tcPr>
            <w:tcW w:w="943"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jc w:val="center"/>
              <w:rPr>
                <w:bCs/>
                <w:kern w:val="0"/>
                <w:sz w:val="18"/>
                <w:szCs w:val="18"/>
              </w:rPr>
            </w:pPr>
            <w:r>
              <w:rPr>
                <w:bCs/>
                <w:kern w:val="0"/>
                <w:sz w:val="18"/>
                <w:szCs w:val="18"/>
              </w:rPr>
              <w:t>43</w:t>
            </w:r>
          </w:p>
        </w:tc>
        <w:tc>
          <w:tcPr>
            <w:tcW w:w="943" w:type="dxa"/>
            <w:vAlign w:val="center"/>
          </w:tcPr>
          <w:p>
            <w:pPr>
              <w:spacing w:line="300" w:lineRule="exact"/>
              <w:ind w:firstLineChars="0" w:firstLine="0"/>
              <w:jc w:val="center"/>
              <w:rPr>
                <w:sz w:val="18"/>
                <w:szCs w:val="18"/>
              </w:rPr>
            </w:pPr>
            <w:r>
              <w:rPr>
                <w:kern w:val="0"/>
                <w:sz w:val="18"/>
                <w:szCs w:val="18"/>
              </w:rPr>
              <w:t>预期</w:t>
            </w:r>
          </w:p>
        </w:tc>
      </w:tr>
      <w:tr>
        <w:trPr>
          <w:trHeight w:val="397"/>
        </w:trPr>
        <w:tc>
          <w:tcPr>
            <w:tcW w:w="988" w:type="dxa"/>
            <w:vMerge/>
            <w:vAlign w:val="center"/>
          </w:tcPr>
          <w:p/>
        </w:tc>
        <w:tc>
          <w:tcPr>
            <w:tcW w:w="3543"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rPr>
                <w:bCs/>
                <w:kern w:val="0"/>
                <w:sz w:val="18"/>
                <w:szCs w:val="18"/>
              </w:rPr>
            </w:pPr>
            <w:r>
              <w:rPr>
                <w:sz w:val="18"/>
                <w:szCs w:val="18"/>
              </w:rPr>
              <w:t>4、电力总装机容量（万千瓦）</w:t>
            </w:r>
          </w:p>
        </w:tc>
        <w:tc>
          <w:tcPr>
            <w:tcW w:w="942" w:type="dxa"/>
            <w:tcBorders>
              <w:top w:val="single" w:sz="4" w:space="0" w:color="auto"/>
              <w:left w:val="single" w:sz="4" w:space="0" w:color="auto"/>
              <w:bottom w:val="single" w:sz="4" w:space="0" w:color="auto"/>
              <w:right w:val="single" w:sz="4" w:space="0" w:color="auto"/>
            </w:tcBorders>
            <w:vAlign w:val="center"/>
          </w:tcPr>
          <w:p>
            <w:pPr>
              <w:spacing w:line="300" w:lineRule="exact"/>
              <w:ind w:firstLineChars="0" w:firstLine="0"/>
              <w:jc w:val="center"/>
              <w:rPr>
                <w:sz w:val="18"/>
                <w:szCs w:val="18"/>
              </w:rPr>
            </w:pPr>
            <w:r>
              <w:rPr>
                <w:sz w:val="18"/>
                <w:szCs w:val="18"/>
              </w:rPr>
              <w:t>0.37</w:t>
            </w:r>
          </w:p>
        </w:tc>
        <w:tc>
          <w:tcPr>
            <w:tcW w:w="947" w:type="dxa"/>
            <w:tcBorders>
              <w:top w:val="single" w:sz="4" w:space="0" w:color="auto"/>
              <w:left w:val="single" w:sz="4" w:space="0" w:color="auto"/>
              <w:bottom w:val="single" w:sz="4" w:space="0" w:color="auto"/>
              <w:right w:val="single" w:sz="4" w:space="0" w:color="auto"/>
            </w:tcBorders>
            <w:vAlign w:val="center"/>
          </w:tcPr>
          <w:p>
            <w:pPr>
              <w:spacing w:line="300" w:lineRule="exact"/>
              <w:ind w:firstLineChars="0" w:firstLine="0"/>
              <w:jc w:val="center"/>
              <w:rPr>
                <w:sz w:val="18"/>
                <w:szCs w:val="18"/>
              </w:rPr>
            </w:pPr>
            <w:r>
              <w:rPr>
                <w:sz w:val="18"/>
                <w:szCs w:val="18"/>
              </w:rPr>
              <w:t>6.37</w:t>
            </w:r>
          </w:p>
        </w:tc>
        <w:tc>
          <w:tcPr>
            <w:tcW w:w="943"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jc w:val="center"/>
              <w:rPr>
                <w:bCs/>
                <w:kern w:val="0"/>
                <w:sz w:val="18"/>
                <w:szCs w:val="18"/>
              </w:rPr>
            </w:pPr>
            <w:r>
              <w:rPr>
                <w:sz w:val="18"/>
                <w:szCs w:val="18"/>
              </w:rPr>
              <w:t>—</w:t>
            </w:r>
          </w:p>
        </w:tc>
        <w:tc>
          <w:tcPr>
            <w:tcW w:w="943" w:type="dxa"/>
            <w:vAlign w:val="center"/>
          </w:tcPr>
          <w:p>
            <w:pPr>
              <w:spacing w:line="300" w:lineRule="exact"/>
              <w:ind w:firstLineChars="0" w:firstLine="0"/>
              <w:jc w:val="center"/>
              <w:rPr>
                <w:sz w:val="18"/>
                <w:szCs w:val="18"/>
              </w:rPr>
            </w:pPr>
            <w:r>
              <w:rPr>
                <w:kern w:val="0"/>
                <w:sz w:val="18"/>
                <w:szCs w:val="18"/>
              </w:rPr>
              <w:t>预期</w:t>
            </w:r>
          </w:p>
        </w:tc>
      </w:tr>
      <w:tr>
        <w:trPr>
          <w:trHeight w:val="397"/>
        </w:trPr>
        <w:tc>
          <w:tcPr>
            <w:tcW w:w="988" w:type="dxa"/>
            <w:vMerge w:val="restart"/>
            <w:vAlign w:val="center"/>
          </w:tcPr>
          <w:p>
            <w:pPr>
              <w:widowControl/>
              <w:adjustRightInd w:val="0"/>
              <w:snapToGrid w:val="0"/>
              <w:spacing w:line="240" w:lineRule="auto"/>
              <w:ind w:firstLineChars="0" w:firstLine="0"/>
              <w:jc w:val="center"/>
              <w:rPr>
                <w:bCs/>
                <w:kern w:val="0"/>
                <w:sz w:val="18"/>
                <w:szCs w:val="18"/>
              </w:rPr>
            </w:pPr>
            <w:r>
              <w:rPr>
                <w:bCs/>
                <w:kern w:val="0"/>
                <w:sz w:val="18"/>
                <w:szCs w:val="18"/>
              </w:rPr>
              <w:t>民生福祉</w:t>
            </w:r>
          </w:p>
          <w:p>
            <w:pPr>
              <w:widowControl/>
              <w:adjustRightInd w:val="0"/>
              <w:snapToGrid w:val="0"/>
              <w:spacing w:line="240" w:lineRule="auto"/>
              <w:ind w:firstLineChars="0" w:firstLine="0"/>
              <w:jc w:val="center"/>
              <w:rPr>
                <w:bCs/>
                <w:kern w:val="0"/>
                <w:sz w:val="18"/>
                <w:szCs w:val="18"/>
              </w:rPr>
            </w:pPr>
            <w:r>
              <w:rPr>
                <w:bCs/>
                <w:kern w:val="0"/>
                <w:sz w:val="18"/>
                <w:szCs w:val="18"/>
              </w:rPr>
              <w:t>（8个）</w:t>
            </w:r>
          </w:p>
        </w:tc>
        <w:tc>
          <w:tcPr>
            <w:tcW w:w="3543"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rPr>
                <w:bCs/>
                <w:kern w:val="0"/>
                <w:sz w:val="18"/>
                <w:szCs w:val="18"/>
              </w:rPr>
            </w:pPr>
            <w:r>
              <w:rPr>
                <w:sz w:val="18"/>
                <w:szCs w:val="18"/>
              </w:rPr>
              <w:t>5、城镇居民人均可支配收入增长率（%）</w:t>
            </w:r>
          </w:p>
        </w:tc>
        <w:tc>
          <w:tcPr>
            <w:tcW w:w="942" w:type="dxa"/>
            <w:tcBorders>
              <w:top w:val="single" w:sz="4" w:space="0" w:color="auto"/>
              <w:left w:val="single" w:sz="4" w:space="0" w:color="auto"/>
              <w:bottom w:val="single" w:sz="4" w:space="0" w:color="auto"/>
              <w:right w:val="single" w:sz="4" w:space="0" w:color="auto"/>
            </w:tcBorders>
            <w:vAlign w:val="center"/>
          </w:tcPr>
          <w:p>
            <w:pPr>
              <w:spacing w:line="300" w:lineRule="exact"/>
              <w:ind w:firstLineChars="0" w:firstLine="0"/>
              <w:jc w:val="center"/>
              <w:rPr>
                <w:sz w:val="18"/>
                <w:szCs w:val="18"/>
              </w:rPr>
            </w:pPr>
            <w:r>
              <w:rPr>
                <w:sz w:val="18"/>
                <w:szCs w:val="18"/>
              </w:rPr>
              <w:t>10.3</w:t>
            </w:r>
          </w:p>
        </w:tc>
        <w:tc>
          <w:tcPr>
            <w:tcW w:w="947" w:type="dxa"/>
            <w:tcBorders>
              <w:top w:val="single" w:sz="4" w:space="0" w:color="auto"/>
              <w:left w:val="single" w:sz="4" w:space="0" w:color="auto"/>
              <w:bottom w:val="single" w:sz="4" w:space="0" w:color="auto"/>
              <w:right w:val="single" w:sz="4" w:space="0" w:color="auto"/>
            </w:tcBorders>
            <w:vAlign w:val="center"/>
          </w:tcPr>
          <w:p>
            <w:pPr>
              <w:spacing w:line="300" w:lineRule="exact"/>
              <w:ind w:firstLineChars="0" w:firstLine="0"/>
              <w:jc w:val="center"/>
              <w:rPr>
                <w:sz w:val="18"/>
                <w:szCs w:val="18"/>
              </w:rPr>
            </w:pPr>
            <w:r>
              <w:rPr>
                <w:sz w:val="18"/>
                <w:szCs w:val="18"/>
              </w:rPr>
              <w:t>11.0</w:t>
            </w:r>
          </w:p>
        </w:tc>
        <w:tc>
          <w:tcPr>
            <w:tcW w:w="943"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jc w:val="center"/>
              <w:rPr>
                <w:bCs/>
                <w:kern w:val="0"/>
                <w:sz w:val="18"/>
                <w:szCs w:val="18"/>
              </w:rPr>
            </w:pPr>
            <w:r>
              <w:rPr>
                <w:bCs/>
                <w:kern w:val="0"/>
                <w:sz w:val="18"/>
                <w:szCs w:val="18"/>
              </w:rPr>
              <w:t>6.97</w:t>
            </w:r>
          </w:p>
        </w:tc>
        <w:tc>
          <w:tcPr>
            <w:tcW w:w="943" w:type="dxa"/>
            <w:vAlign w:val="center"/>
          </w:tcPr>
          <w:p>
            <w:pPr>
              <w:spacing w:line="300" w:lineRule="exact"/>
              <w:ind w:firstLineChars="0" w:firstLine="0"/>
              <w:jc w:val="center"/>
              <w:rPr>
                <w:sz w:val="18"/>
                <w:szCs w:val="18"/>
              </w:rPr>
            </w:pPr>
            <w:r>
              <w:rPr>
                <w:kern w:val="0"/>
                <w:sz w:val="18"/>
                <w:szCs w:val="18"/>
              </w:rPr>
              <w:t>预期</w:t>
            </w:r>
          </w:p>
        </w:tc>
      </w:tr>
      <w:tr>
        <w:trPr>
          <w:trHeight w:val="397"/>
        </w:trPr>
        <w:tc>
          <w:tcPr>
            <w:tcW w:w="988" w:type="dxa"/>
            <w:vMerge/>
            <w:vAlign w:val="center"/>
          </w:tcPr>
          <w:p/>
        </w:tc>
        <w:tc>
          <w:tcPr>
            <w:tcW w:w="3543"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rPr>
                <w:sz w:val="18"/>
                <w:szCs w:val="18"/>
              </w:rPr>
            </w:pPr>
            <w:r>
              <w:rPr>
                <w:sz w:val="18"/>
                <w:szCs w:val="18"/>
              </w:rPr>
              <w:t>6、农村居民人均可支配收入增长率（%）</w:t>
            </w:r>
          </w:p>
        </w:tc>
        <w:tc>
          <w:tcPr>
            <w:tcW w:w="942" w:type="dxa"/>
            <w:tcBorders>
              <w:top w:val="single" w:sz="4" w:space="0" w:color="auto"/>
              <w:left w:val="single" w:sz="4" w:space="0" w:color="auto"/>
              <w:bottom w:val="single" w:sz="4" w:space="0" w:color="auto"/>
              <w:right w:val="single" w:sz="4" w:space="0" w:color="auto"/>
            </w:tcBorders>
            <w:vAlign w:val="center"/>
          </w:tcPr>
          <w:p>
            <w:pPr>
              <w:spacing w:line="300" w:lineRule="exact"/>
              <w:ind w:firstLineChars="0" w:firstLine="0"/>
              <w:jc w:val="center"/>
              <w:rPr>
                <w:sz w:val="18"/>
                <w:szCs w:val="18"/>
              </w:rPr>
            </w:pPr>
            <w:r>
              <w:rPr>
                <w:sz w:val="18"/>
                <w:szCs w:val="18"/>
              </w:rPr>
              <w:t>12</w:t>
            </w:r>
          </w:p>
        </w:tc>
        <w:tc>
          <w:tcPr>
            <w:tcW w:w="947" w:type="dxa"/>
            <w:tcBorders>
              <w:top w:val="single" w:sz="4" w:space="0" w:color="auto"/>
              <w:left w:val="single" w:sz="4" w:space="0" w:color="auto"/>
              <w:bottom w:val="single" w:sz="4" w:space="0" w:color="auto"/>
              <w:right w:val="single" w:sz="4" w:space="0" w:color="auto"/>
            </w:tcBorders>
            <w:vAlign w:val="center"/>
          </w:tcPr>
          <w:p>
            <w:pPr>
              <w:spacing w:line="300" w:lineRule="exact"/>
              <w:ind w:firstLineChars="0" w:firstLine="0"/>
              <w:jc w:val="center"/>
              <w:rPr>
                <w:sz w:val="18"/>
                <w:szCs w:val="18"/>
              </w:rPr>
            </w:pPr>
            <w:r>
              <w:rPr>
                <w:sz w:val="18"/>
                <w:szCs w:val="18"/>
              </w:rPr>
              <w:t>14.0</w:t>
            </w:r>
          </w:p>
        </w:tc>
        <w:tc>
          <w:tcPr>
            <w:tcW w:w="943"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jc w:val="center"/>
              <w:rPr>
                <w:bCs/>
                <w:kern w:val="0"/>
                <w:sz w:val="18"/>
                <w:szCs w:val="18"/>
              </w:rPr>
            </w:pPr>
            <w:r>
              <w:rPr>
                <w:bCs/>
                <w:kern w:val="0"/>
                <w:sz w:val="18"/>
                <w:szCs w:val="18"/>
              </w:rPr>
              <w:t>8.52</w:t>
            </w:r>
          </w:p>
        </w:tc>
        <w:tc>
          <w:tcPr>
            <w:tcW w:w="943" w:type="dxa"/>
            <w:vAlign w:val="center"/>
          </w:tcPr>
          <w:p>
            <w:pPr>
              <w:spacing w:line="300" w:lineRule="exact"/>
              <w:ind w:firstLineChars="0" w:firstLine="0"/>
              <w:jc w:val="center"/>
              <w:rPr>
                <w:sz w:val="18"/>
                <w:szCs w:val="18"/>
              </w:rPr>
            </w:pPr>
            <w:r>
              <w:rPr>
                <w:kern w:val="0"/>
                <w:sz w:val="18"/>
                <w:szCs w:val="18"/>
              </w:rPr>
              <w:t>预期</w:t>
            </w:r>
          </w:p>
        </w:tc>
      </w:tr>
      <w:tr>
        <w:trPr>
          <w:trHeight w:val="397"/>
        </w:trPr>
        <w:tc>
          <w:tcPr>
            <w:tcW w:w="988" w:type="dxa"/>
            <w:vMerge/>
            <w:vAlign w:val="center"/>
          </w:tcPr>
          <w:p/>
        </w:tc>
        <w:tc>
          <w:tcPr>
            <w:tcW w:w="3543"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rPr>
                <w:bCs/>
                <w:kern w:val="0"/>
                <w:sz w:val="18"/>
                <w:szCs w:val="18"/>
              </w:rPr>
            </w:pPr>
            <w:r>
              <w:rPr>
                <w:sz w:val="18"/>
                <w:szCs w:val="18"/>
              </w:rPr>
              <w:t>7、城镇调查失业率（%）</w:t>
            </w:r>
          </w:p>
        </w:tc>
        <w:tc>
          <w:tcPr>
            <w:tcW w:w="942" w:type="dxa"/>
            <w:tcBorders>
              <w:top w:val="single" w:sz="4" w:space="0" w:color="auto"/>
              <w:left w:val="single" w:sz="4" w:space="0" w:color="auto"/>
              <w:bottom w:val="single" w:sz="4" w:space="0" w:color="auto"/>
              <w:right w:val="single" w:sz="4" w:space="0" w:color="auto"/>
            </w:tcBorders>
            <w:vAlign w:val="center"/>
          </w:tcPr>
          <w:p>
            <w:pPr>
              <w:spacing w:line="300" w:lineRule="exact"/>
              <w:ind w:firstLineChars="0" w:firstLine="0"/>
              <w:jc w:val="center"/>
              <w:rPr>
                <w:sz w:val="18"/>
                <w:szCs w:val="18"/>
              </w:rPr>
            </w:pPr>
            <w:r>
              <w:rPr>
                <w:sz w:val="18"/>
                <w:szCs w:val="18"/>
              </w:rPr>
              <w:t>—</w:t>
            </w:r>
          </w:p>
        </w:tc>
        <w:tc>
          <w:tcPr>
            <w:tcW w:w="947" w:type="dxa"/>
            <w:tcBorders>
              <w:top w:val="single" w:sz="4" w:space="0" w:color="auto"/>
              <w:left w:val="single" w:sz="4" w:space="0" w:color="auto"/>
              <w:bottom w:val="single" w:sz="4" w:space="0" w:color="auto"/>
              <w:right w:val="single" w:sz="4" w:space="0" w:color="auto"/>
            </w:tcBorders>
            <w:vAlign w:val="center"/>
          </w:tcPr>
          <w:p>
            <w:pPr>
              <w:spacing w:line="300" w:lineRule="exact"/>
              <w:ind w:firstLineChars="0" w:firstLine="0"/>
              <w:jc w:val="center"/>
              <w:rPr>
                <w:sz w:val="18"/>
                <w:szCs w:val="18"/>
              </w:rPr>
            </w:pPr>
            <w:r>
              <w:rPr>
                <w:rFonts w:hint="eastAsia"/>
                <w:kern w:val="0"/>
                <w:sz w:val="18"/>
                <w:szCs w:val="18"/>
              </w:rPr>
              <w:t>≤</w:t>
            </w:r>
            <w:r>
              <w:rPr>
                <w:kern w:val="0"/>
                <w:sz w:val="18"/>
                <w:szCs w:val="18"/>
              </w:rPr>
              <w:t>3.5</w:t>
            </w:r>
          </w:p>
        </w:tc>
        <w:tc>
          <w:tcPr>
            <w:tcW w:w="943"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jc w:val="center"/>
              <w:rPr>
                <w:bCs/>
                <w:kern w:val="0"/>
                <w:sz w:val="18"/>
                <w:szCs w:val="18"/>
              </w:rPr>
            </w:pPr>
            <w:r>
              <w:rPr>
                <w:rFonts w:hint="eastAsia"/>
                <w:kern w:val="0"/>
                <w:sz w:val="18"/>
                <w:szCs w:val="18"/>
              </w:rPr>
              <w:t>≤</w:t>
            </w:r>
            <w:r>
              <w:rPr>
                <w:sz w:val="18"/>
                <w:szCs w:val="18"/>
              </w:rPr>
              <w:t>5</w:t>
            </w:r>
          </w:p>
        </w:tc>
        <w:tc>
          <w:tcPr>
            <w:tcW w:w="943" w:type="dxa"/>
            <w:vAlign w:val="center"/>
          </w:tcPr>
          <w:p>
            <w:pPr>
              <w:spacing w:line="300" w:lineRule="exact"/>
              <w:ind w:firstLineChars="0" w:firstLine="0"/>
              <w:jc w:val="center"/>
              <w:rPr>
                <w:sz w:val="18"/>
                <w:szCs w:val="18"/>
              </w:rPr>
            </w:pPr>
            <w:r>
              <w:rPr>
                <w:kern w:val="0"/>
                <w:sz w:val="18"/>
                <w:szCs w:val="18"/>
              </w:rPr>
              <w:t>预期</w:t>
            </w:r>
          </w:p>
        </w:tc>
      </w:tr>
      <w:tr>
        <w:trPr>
          <w:trHeight w:val="397"/>
        </w:trPr>
        <w:tc>
          <w:tcPr>
            <w:tcW w:w="988" w:type="dxa"/>
            <w:vMerge/>
            <w:vAlign w:val="center"/>
          </w:tcPr>
          <w:p/>
        </w:tc>
        <w:tc>
          <w:tcPr>
            <w:tcW w:w="3543"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rPr>
                <w:bCs/>
                <w:kern w:val="0"/>
                <w:sz w:val="18"/>
                <w:szCs w:val="18"/>
              </w:rPr>
            </w:pPr>
            <w:r>
              <w:rPr>
                <w:sz w:val="18"/>
                <w:szCs w:val="18"/>
              </w:rPr>
              <w:t>8、劳动年龄人口平均受教育年限（年）</w:t>
            </w:r>
          </w:p>
        </w:tc>
        <w:tc>
          <w:tcPr>
            <w:tcW w:w="942" w:type="dxa"/>
            <w:tcBorders>
              <w:top w:val="single" w:sz="4" w:space="0" w:color="auto"/>
              <w:left w:val="single" w:sz="4" w:space="0" w:color="auto"/>
              <w:bottom w:val="single" w:sz="4" w:space="0" w:color="auto"/>
              <w:right w:val="single" w:sz="4" w:space="0" w:color="auto"/>
            </w:tcBorders>
            <w:vAlign w:val="center"/>
          </w:tcPr>
          <w:p>
            <w:pPr>
              <w:spacing w:line="300" w:lineRule="exact"/>
              <w:ind w:firstLineChars="0" w:firstLine="0"/>
              <w:jc w:val="center"/>
              <w:rPr>
                <w:sz w:val="18"/>
                <w:szCs w:val="18"/>
              </w:rPr>
            </w:pPr>
            <w:r>
              <w:rPr>
                <w:sz w:val="18"/>
                <w:szCs w:val="18"/>
              </w:rPr>
              <w:t>8.9</w:t>
            </w:r>
          </w:p>
        </w:tc>
        <w:tc>
          <w:tcPr>
            <w:tcW w:w="947" w:type="dxa"/>
            <w:tcBorders>
              <w:top w:val="single" w:sz="4" w:space="0" w:color="auto"/>
              <w:left w:val="single" w:sz="4" w:space="0" w:color="auto"/>
              <w:bottom w:val="single" w:sz="4" w:space="0" w:color="auto"/>
              <w:right w:val="single" w:sz="4" w:space="0" w:color="auto"/>
            </w:tcBorders>
            <w:vAlign w:val="center"/>
          </w:tcPr>
          <w:p>
            <w:pPr>
              <w:spacing w:line="300" w:lineRule="exact"/>
              <w:ind w:firstLineChars="0" w:firstLine="0"/>
              <w:jc w:val="center"/>
              <w:rPr>
                <w:sz w:val="18"/>
                <w:szCs w:val="18"/>
              </w:rPr>
            </w:pPr>
            <w:r>
              <w:rPr>
                <w:sz w:val="18"/>
                <w:szCs w:val="18"/>
              </w:rPr>
              <w:t>10.7</w:t>
            </w:r>
          </w:p>
        </w:tc>
        <w:tc>
          <w:tcPr>
            <w:tcW w:w="943"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jc w:val="center"/>
              <w:rPr>
                <w:bCs/>
                <w:kern w:val="0"/>
                <w:sz w:val="18"/>
                <w:szCs w:val="18"/>
              </w:rPr>
            </w:pPr>
            <w:r>
              <w:rPr>
                <w:sz w:val="18"/>
                <w:szCs w:val="18"/>
              </w:rPr>
              <w:t>10.7</w:t>
            </w:r>
          </w:p>
        </w:tc>
        <w:tc>
          <w:tcPr>
            <w:tcW w:w="943" w:type="dxa"/>
            <w:vAlign w:val="center"/>
          </w:tcPr>
          <w:p>
            <w:pPr>
              <w:spacing w:line="300" w:lineRule="exact"/>
              <w:ind w:firstLineChars="0" w:firstLine="0"/>
              <w:jc w:val="center"/>
              <w:rPr>
                <w:sz w:val="18"/>
                <w:szCs w:val="18"/>
              </w:rPr>
            </w:pPr>
            <w:r>
              <w:rPr>
                <w:kern w:val="0"/>
                <w:sz w:val="18"/>
                <w:szCs w:val="18"/>
              </w:rPr>
              <w:t>预期</w:t>
            </w:r>
          </w:p>
        </w:tc>
      </w:tr>
      <w:tr>
        <w:trPr>
          <w:trHeight w:val="397"/>
        </w:trPr>
        <w:tc>
          <w:tcPr>
            <w:tcW w:w="988" w:type="dxa"/>
            <w:vMerge/>
            <w:vAlign w:val="center"/>
          </w:tcPr>
          <w:p/>
        </w:tc>
        <w:tc>
          <w:tcPr>
            <w:tcW w:w="3543"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rPr>
                <w:sz w:val="18"/>
                <w:szCs w:val="18"/>
              </w:rPr>
            </w:pPr>
            <w:r>
              <w:rPr>
                <w:sz w:val="18"/>
                <w:szCs w:val="18"/>
              </w:rPr>
              <w:t>9、每千人口拥有执业（助理）医师数（位）</w:t>
            </w:r>
          </w:p>
        </w:tc>
        <w:tc>
          <w:tcPr>
            <w:tcW w:w="942" w:type="dxa"/>
            <w:tcBorders>
              <w:top w:val="single" w:sz="4" w:space="0" w:color="auto"/>
              <w:left w:val="single" w:sz="4" w:space="0" w:color="auto"/>
              <w:bottom w:val="single" w:sz="4" w:space="0" w:color="auto"/>
              <w:right w:val="single" w:sz="4" w:space="0" w:color="auto"/>
            </w:tcBorders>
            <w:vAlign w:val="center"/>
          </w:tcPr>
          <w:p>
            <w:pPr>
              <w:spacing w:line="300" w:lineRule="exact"/>
              <w:ind w:firstLineChars="0" w:firstLine="0"/>
              <w:jc w:val="center"/>
              <w:rPr>
                <w:sz w:val="18"/>
                <w:szCs w:val="18"/>
              </w:rPr>
            </w:pPr>
            <w:r>
              <w:rPr>
                <w:sz w:val="18"/>
                <w:szCs w:val="18"/>
              </w:rPr>
              <w:t>2.5</w:t>
            </w:r>
          </w:p>
        </w:tc>
        <w:tc>
          <w:tcPr>
            <w:tcW w:w="947" w:type="dxa"/>
            <w:tcBorders>
              <w:top w:val="single" w:sz="4" w:space="0" w:color="auto"/>
              <w:left w:val="single" w:sz="4" w:space="0" w:color="auto"/>
              <w:bottom w:val="single" w:sz="4" w:space="0" w:color="auto"/>
              <w:right w:val="single" w:sz="4" w:space="0" w:color="auto"/>
            </w:tcBorders>
            <w:vAlign w:val="center"/>
          </w:tcPr>
          <w:p>
            <w:pPr>
              <w:spacing w:line="300" w:lineRule="exact"/>
              <w:ind w:firstLineChars="0" w:firstLine="0"/>
              <w:jc w:val="center"/>
              <w:rPr>
                <w:sz w:val="18"/>
                <w:szCs w:val="18"/>
              </w:rPr>
            </w:pPr>
            <w:r>
              <w:rPr>
                <w:sz w:val="18"/>
                <w:szCs w:val="18"/>
              </w:rPr>
              <w:t>2.8</w:t>
            </w:r>
          </w:p>
        </w:tc>
        <w:tc>
          <w:tcPr>
            <w:tcW w:w="943"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jc w:val="center"/>
              <w:rPr>
                <w:bCs/>
                <w:kern w:val="0"/>
                <w:sz w:val="18"/>
                <w:szCs w:val="18"/>
              </w:rPr>
            </w:pPr>
            <w:r>
              <w:rPr>
                <w:sz w:val="18"/>
                <w:szCs w:val="18"/>
              </w:rPr>
              <w:t>2.8</w:t>
            </w:r>
          </w:p>
        </w:tc>
        <w:tc>
          <w:tcPr>
            <w:tcW w:w="943" w:type="dxa"/>
            <w:vAlign w:val="center"/>
          </w:tcPr>
          <w:p>
            <w:pPr>
              <w:spacing w:line="300" w:lineRule="exact"/>
              <w:ind w:firstLineChars="0" w:firstLine="0"/>
              <w:jc w:val="center"/>
              <w:rPr>
                <w:sz w:val="18"/>
                <w:szCs w:val="18"/>
              </w:rPr>
            </w:pPr>
            <w:r>
              <w:rPr>
                <w:kern w:val="0"/>
                <w:sz w:val="18"/>
                <w:szCs w:val="18"/>
              </w:rPr>
              <w:t>预期</w:t>
            </w:r>
          </w:p>
        </w:tc>
      </w:tr>
      <w:tr>
        <w:trPr>
          <w:trHeight w:val="397"/>
        </w:trPr>
        <w:tc>
          <w:tcPr>
            <w:tcW w:w="988" w:type="dxa"/>
            <w:vMerge/>
            <w:vAlign w:val="center"/>
          </w:tcPr>
          <w:p/>
        </w:tc>
        <w:tc>
          <w:tcPr>
            <w:tcW w:w="3543"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rPr>
                <w:sz w:val="18"/>
                <w:szCs w:val="18"/>
              </w:rPr>
            </w:pPr>
            <w:r>
              <w:rPr>
                <w:sz w:val="18"/>
                <w:szCs w:val="18"/>
              </w:rPr>
              <w:t>10、基本养老保险参保率（%）</w:t>
            </w:r>
          </w:p>
        </w:tc>
        <w:tc>
          <w:tcPr>
            <w:tcW w:w="942" w:type="dxa"/>
            <w:tcBorders>
              <w:top w:val="single" w:sz="4" w:space="0" w:color="auto"/>
              <w:left w:val="single" w:sz="4" w:space="0" w:color="auto"/>
              <w:bottom w:val="single" w:sz="4" w:space="0" w:color="auto"/>
              <w:right w:val="single" w:sz="4" w:space="0" w:color="auto"/>
            </w:tcBorders>
            <w:vAlign w:val="center"/>
          </w:tcPr>
          <w:p>
            <w:pPr>
              <w:spacing w:line="300" w:lineRule="exact"/>
              <w:ind w:firstLineChars="0" w:firstLine="0"/>
              <w:jc w:val="center"/>
              <w:rPr>
                <w:sz w:val="18"/>
                <w:szCs w:val="18"/>
              </w:rPr>
            </w:pPr>
            <w:r>
              <w:rPr>
                <w:sz w:val="18"/>
                <w:szCs w:val="18"/>
              </w:rPr>
              <w:t>95.0</w:t>
            </w:r>
          </w:p>
        </w:tc>
        <w:tc>
          <w:tcPr>
            <w:tcW w:w="947" w:type="dxa"/>
            <w:tcBorders>
              <w:top w:val="single" w:sz="4" w:space="0" w:color="auto"/>
              <w:left w:val="single" w:sz="4" w:space="0" w:color="auto"/>
              <w:bottom w:val="single" w:sz="4" w:space="0" w:color="auto"/>
              <w:right w:val="single" w:sz="4" w:space="0" w:color="auto"/>
            </w:tcBorders>
            <w:vAlign w:val="center"/>
          </w:tcPr>
          <w:p>
            <w:pPr>
              <w:spacing w:line="300" w:lineRule="exact"/>
              <w:ind w:firstLineChars="0" w:firstLine="0"/>
              <w:jc w:val="center"/>
              <w:rPr>
                <w:sz w:val="18"/>
                <w:szCs w:val="18"/>
              </w:rPr>
            </w:pPr>
            <w:r>
              <w:rPr>
                <w:sz w:val="18"/>
                <w:szCs w:val="18"/>
              </w:rPr>
              <w:t>98.5</w:t>
            </w:r>
          </w:p>
        </w:tc>
        <w:tc>
          <w:tcPr>
            <w:tcW w:w="943"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jc w:val="center"/>
              <w:rPr>
                <w:bCs/>
                <w:kern w:val="0"/>
                <w:sz w:val="18"/>
                <w:szCs w:val="18"/>
              </w:rPr>
            </w:pPr>
            <w:r>
              <w:rPr>
                <w:sz w:val="18"/>
                <w:szCs w:val="18"/>
              </w:rPr>
              <w:t>98.4</w:t>
            </w:r>
          </w:p>
        </w:tc>
        <w:tc>
          <w:tcPr>
            <w:tcW w:w="943" w:type="dxa"/>
            <w:vAlign w:val="center"/>
          </w:tcPr>
          <w:p>
            <w:pPr>
              <w:spacing w:line="300" w:lineRule="exact"/>
              <w:ind w:firstLineChars="0" w:firstLine="0"/>
              <w:jc w:val="center"/>
              <w:rPr>
                <w:sz w:val="18"/>
                <w:szCs w:val="18"/>
              </w:rPr>
            </w:pPr>
            <w:r>
              <w:rPr>
                <w:kern w:val="0"/>
                <w:sz w:val="18"/>
                <w:szCs w:val="18"/>
              </w:rPr>
              <w:t>预期</w:t>
            </w:r>
          </w:p>
        </w:tc>
      </w:tr>
      <w:tr>
        <w:trPr>
          <w:trHeight w:val="397"/>
        </w:trPr>
        <w:tc>
          <w:tcPr>
            <w:tcW w:w="988" w:type="dxa"/>
            <w:vMerge/>
            <w:vAlign w:val="center"/>
          </w:tcPr>
          <w:p/>
        </w:tc>
        <w:tc>
          <w:tcPr>
            <w:tcW w:w="3543"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rPr>
                <w:bCs/>
                <w:kern w:val="0"/>
                <w:sz w:val="18"/>
                <w:szCs w:val="18"/>
              </w:rPr>
            </w:pPr>
            <w:r>
              <w:rPr>
                <w:sz w:val="18"/>
                <w:szCs w:val="18"/>
              </w:rPr>
              <w:t>11、学龄前儿童入园率（%）</w:t>
            </w:r>
          </w:p>
        </w:tc>
        <w:tc>
          <w:tcPr>
            <w:tcW w:w="942" w:type="dxa"/>
            <w:tcBorders>
              <w:top w:val="single" w:sz="4" w:space="0" w:color="auto"/>
              <w:left w:val="single" w:sz="4" w:space="0" w:color="auto"/>
              <w:bottom w:val="single" w:sz="4" w:space="0" w:color="auto"/>
              <w:right w:val="single" w:sz="4" w:space="0" w:color="auto"/>
            </w:tcBorders>
            <w:vAlign w:val="center"/>
          </w:tcPr>
          <w:p>
            <w:pPr>
              <w:spacing w:line="300" w:lineRule="exact"/>
              <w:ind w:firstLineChars="0" w:firstLine="0"/>
              <w:jc w:val="center"/>
              <w:rPr>
                <w:sz w:val="18"/>
                <w:szCs w:val="18"/>
              </w:rPr>
            </w:pPr>
            <w:r>
              <w:rPr>
                <w:sz w:val="18"/>
                <w:szCs w:val="18"/>
              </w:rPr>
              <w:t>87.6</w:t>
            </w:r>
          </w:p>
        </w:tc>
        <w:tc>
          <w:tcPr>
            <w:tcW w:w="947" w:type="dxa"/>
            <w:tcBorders>
              <w:top w:val="single" w:sz="4" w:space="0" w:color="auto"/>
              <w:left w:val="single" w:sz="4" w:space="0" w:color="auto"/>
              <w:bottom w:val="single" w:sz="4" w:space="0" w:color="auto"/>
              <w:right w:val="single" w:sz="4" w:space="0" w:color="auto"/>
            </w:tcBorders>
            <w:vAlign w:val="center"/>
          </w:tcPr>
          <w:p>
            <w:pPr>
              <w:spacing w:line="300" w:lineRule="exact"/>
              <w:ind w:firstLineChars="0" w:firstLine="0"/>
              <w:jc w:val="center"/>
              <w:rPr>
                <w:sz w:val="18"/>
                <w:szCs w:val="18"/>
              </w:rPr>
            </w:pPr>
            <w:r>
              <w:rPr>
                <w:sz w:val="18"/>
                <w:szCs w:val="18"/>
              </w:rPr>
              <w:t>94.0 </w:t>
            </w:r>
          </w:p>
        </w:tc>
        <w:tc>
          <w:tcPr>
            <w:tcW w:w="943"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jc w:val="center"/>
              <w:rPr>
                <w:bCs/>
                <w:kern w:val="0"/>
                <w:sz w:val="18"/>
                <w:szCs w:val="18"/>
              </w:rPr>
            </w:pPr>
            <w:r>
              <w:rPr>
                <w:bCs/>
                <w:kern w:val="0"/>
                <w:sz w:val="18"/>
                <w:szCs w:val="18"/>
              </w:rPr>
              <w:t>92.0</w:t>
            </w:r>
          </w:p>
        </w:tc>
        <w:tc>
          <w:tcPr>
            <w:tcW w:w="943" w:type="dxa"/>
            <w:vAlign w:val="center"/>
          </w:tcPr>
          <w:p>
            <w:pPr>
              <w:spacing w:line="300" w:lineRule="exact"/>
              <w:ind w:firstLineChars="0" w:firstLine="0"/>
              <w:jc w:val="center"/>
              <w:rPr>
                <w:sz w:val="18"/>
                <w:szCs w:val="18"/>
              </w:rPr>
            </w:pPr>
            <w:r>
              <w:rPr>
                <w:kern w:val="0"/>
                <w:sz w:val="18"/>
                <w:szCs w:val="18"/>
              </w:rPr>
              <w:t>预期</w:t>
            </w:r>
          </w:p>
        </w:tc>
      </w:tr>
      <w:tr>
        <w:trPr>
          <w:trHeight w:val="397"/>
        </w:trPr>
        <w:tc>
          <w:tcPr>
            <w:tcW w:w="988" w:type="dxa"/>
            <w:vMerge/>
            <w:vAlign w:val="center"/>
          </w:tcPr>
          <w:p/>
        </w:tc>
        <w:tc>
          <w:tcPr>
            <w:tcW w:w="3543"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rPr>
                <w:bCs/>
                <w:kern w:val="0"/>
                <w:sz w:val="18"/>
                <w:szCs w:val="18"/>
              </w:rPr>
            </w:pPr>
            <w:r>
              <w:rPr>
                <w:sz w:val="18"/>
                <w:szCs w:val="18"/>
              </w:rPr>
              <w:t>12、人均预期寿命（岁）</w:t>
            </w:r>
          </w:p>
        </w:tc>
        <w:tc>
          <w:tcPr>
            <w:tcW w:w="942" w:type="dxa"/>
            <w:tcBorders>
              <w:top w:val="single" w:sz="4" w:space="0" w:color="auto"/>
              <w:left w:val="single" w:sz="4" w:space="0" w:color="auto"/>
              <w:bottom w:val="single" w:sz="4" w:space="0" w:color="auto"/>
              <w:right w:val="single" w:sz="4" w:space="0" w:color="auto"/>
            </w:tcBorders>
            <w:vAlign w:val="center"/>
          </w:tcPr>
          <w:p>
            <w:pPr>
              <w:spacing w:line="300" w:lineRule="exact"/>
              <w:ind w:firstLineChars="0" w:firstLine="0"/>
              <w:jc w:val="center"/>
              <w:rPr>
                <w:sz w:val="18"/>
                <w:szCs w:val="18"/>
              </w:rPr>
            </w:pPr>
            <w:r>
              <w:rPr>
                <w:sz w:val="18"/>
                <w:szCs w:val="18"/>
              </w:rPr>
              <w:t>70.5</w:t>
            </w:r>
          </w:p>
        </w:tc>
        <w:tc>
          <w:tcPr>
            <w:tcW w:w="947" w:type="dxa"/>
            <w:tcBorders>
              <w:top w:val="single" w:sz="4" w:space="0" w:color="auto"/>
              <w:left w:val="single" w:sz="4" w:space="0" w:color="auto"/>
              <w:bottom w:val="single" w:sz="4" w:space="0" w:color="auto"/>
              <w:right w:val="single" w:sz="4" w:space="0" w:color="auto"/>
            </w:tcBorders>
            <w:vAlign w:val="center"/>
          </w:tcPr>
          <w:p>
            <w:pPr>
              <w:spacing w:line="300" w:lineRule="exact"/>
              <w:ind w:firstLineChars="0" w:firstLine="0"/>
              <w:jc w:val="center"/>
              <w:rPr>
                <w:sz w:val="18"/>
                <w:szCs w:val="18"/>
              </w:rPr>
            </w:pPr>
            <w:r>
              <w:rPr>
                <w:sz w:val="18"/>
                <w:szCs w:val="18"/>
              </w:rPr>
              <w:t>71.6</w:t>
            </w:r>
          </w:p>
        </w:tc>
        <w:tc>
          <w:tcPr>
            <w:tcW w:w="943"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jc w:val="center"/>
              <w:rPr>
                <w:bCs/>
                <w:kern w:val="0"/>
                <w:sz w:val="18"/>
                <w:szCs w:val="18"/>
              </w:rPr>
            </w:pPr>
            <w:r>
              <w:rPr>
                <w:sz w:val="18"/>
                <w:szCs w:val="18"/>
              </w:rPr>
              <w:t>71.6</w:t>
            </w:r>
          </w:p>
        </w:tc>
        <w:tc>
          <w:tcPr>
            <w:tcW w:w="943" w:type="dxa"/>
            <w:vAlign w:val="center"/>
          </w:tcPr>
          <w:p>
            <w:pPr>
              <w:spacing w:line="300" w:lineRule="exact"/>
              <w:ind w:firstLineChars="0" w:firstLine="0"/>
              <w:jc w:val="center"/>
              <w:rPr>
                <w:sz w:val="18"/>
                <w:szCs w:val="18"/>
              </w:rPr>
            </w:pPr>
            <w:r>
              <w:rPr>
                <w:kern w:val="0"/>
                <w:sz w:val="18"/>
                <w:szCs w:val="18"/>
              </w:rPr>
              <w:t>预期</w:t>
            </w:r>
          </w:p>
        </w:tc>
      </w:tr>
      <w:tr>
        <w:trPr>
          <w:trHeight w:val="397"/>
        </w:trPr>
        <w:tc>
          <w:tcPr>
            <w:tcW w:w="988" w:type="dxa"/>
            <w:vMerge w:val="restart"/>
            <w:vAlign w:val="center"/>
          </w:tcPr>
          <w:p>
            <w:pPr>
              <w:widowControl/>
              <w:adjustRightInd w:val="0"/>
              <w:snapToGrid w:val="0"/>
              <w:spacing w:line="240" w:lineRule="auto"/>
              <w:ind w:firstLineChars="0" w:firstLine="0"/>
              <w:jc w:val="center"/>
              <w:rPr>
                <w:bCs/>
                <w:kern w:val="0"/>
                <w:sz w:val="18"/>
                <w:szCs w:val="18"/>
              </w:rPr>
            </w:pPr>
            <w:r>
              <w:rPr>
                <w:bCs/>
                <w:kern w:val="0"/>
                <w:sz w:val="18"/>
                <w:szCs w:val="18"/>
              </w:rPr>
              <w:t>创新驱动</w:t>
            </w:r>
          </w:p>
          <w:p>
            <w:pPr>
              <w:widowControl/>
              <w:adjustRightInd w:val="0"/>
              <w:snapToGrid w:val="0"/>
              <w:spacing w:line="240" w:lineRule="auto"/>
              <w:ind w:firstLineChars="0" w:firstLine="0"/>
              <w:jc w:val="center"/>
              <w:rPr>
                <w:bCs/>
                <w:kern w:val="0"/>
                <w:sz w:val="18"/>
                <w:szCs w:val="18"/>
              </w:rPr>
            </w:pPr>
            <w:r>
              <w:rPr>
                <w:bCs/>
                <w:kern w:val="0"/>
                <w:sz w:val="18"/>
                <w:szCs w:val="18"/>
              </w:rPr>
              <w:t>（2个）</w:t>
            </w:r>
          </w:p>
        </w:tc>
        <w:tc>
          <w:tcPr>
            <w:tcW w:w="3543"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rPr>
                <w:bCs/>
                <w:kern w:val="0"/>
                <w:sz w:val="18"/>
                <w:szCs w:val="18"/>
              </w:rPr>
            </w:pPr>
            <w:r>
              <w:rPr>
                <w:sz w:val="18"/>
                <w:szCs w:val="18"/>
              </w:rPr>
              <w:t>13、科学研究与试验发展（R&amp;D）经费占GDP比例（%）</w:t>
            </w:r>
          </w:p>
        </w:tc>
        <w:tc>
          <w:tcPr>
            <w:tcW w:w="942" w:type="dxa"/>
            <w:tcBorders>
              <w:top w:val="single" w:sz="4" w:space="0" w:color="auto"/>
              <w:left w:val="single" w:sz="4" w:space="0" w:color="auto"/>
              <w:bottom w:val="single" w:sz="4" w:space="0" w:color="auto"/>
              <w:right w:val="single" w:sz="4" w:space="0" w:color="auto"/>
            </w:tcBorders>
            <w:vAlign w:val="center"/>
          </w:tcPr>
          <w:p>
            <w:pPr>
              <w:spacing w:line="300" w:lineRule="exact"/>
              <w:ind w:firstLineChars="0" w:firstLine="0"/>
              <w:jc w:val="center"/>
              <w:rPr>
                <w:sz w:val="18"/>
                <w:szCs w:val="18"/>
              </w:rPr>
            </w:pPr>
            <w:r>
              <w:rPr>
                <w:sz w:val="18"/>
                <w:szCs w:val="18"/>
              </w:rPr>
              <w:t>—　</w:t>
            </w:r>
          </w:p>
        </w:tc>
        <w:tc>
          <w:tcPr>
            <w:tcW w:w="947" w:type="dxa"/>
            <w:tcBorders>
              <w:top w:val="single" w:sz="4" w:space="0" w:color="auto"/>
              <w:left w:val="single" w:sz="4" w:space="0" w:color="auto"/>
              <w:bottom w:val="single" w:sz="4" w:space="0" w:color="auto"/>
              <w:right w:val="single" w:sz="4" w:space="0" w:color="auto"/>
            </w:tcBorders>
            <w:vAlign w:val="center"/>
          </w:tcPr>
          <w:p>
            <w:pPr>
              <w:spacing w:line="300" w:lineRule="exact"/>
              <w:ind w:firstLineChars="0" w:firstLine="0"/>
              <w:jc w:val="center"/>
              <w:rPr>
                <w:sz w:val="18"/>
                <w:szCs w:val="18"/>
              </w:rPr>
            </w:pPr>
            <w:r>
              <w:rPr>
                <w:rFonts w:hint="eastAsia"/>
                <w:kern w:val="0"/>
                <w:sz w:val="18"/>
                <w:szCs w:val="18"/>
              </w:rPr>
              <w:t>≥</w:t>
            </w:r>
            <w:r>
              <w:rPr>
                <w:kern w:val="0"/>
                <w:sz w:val="18"/>
                <w:szCs w:val="18"/>
              </w:rPr>
              <w:t>1.0</w:t>
            </w:r>
            <w:r>
              <w:rPr>
                <w:sz w:val="18"/>
                <w:szCs w:val="18"/>
              </w:rPr>
              <w:t>　</w:t>
            </w:r>
          </w:p>
        </w:tc>
        <w:tc>
          <w:tcPr>
            <w:tcW w:w="943"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jc w:val="center"/>
              <w:rPr>
                <w:bCs/>
                <w:kern w:val="0"/>
                <w:sz w:val="18"/>
                <w:szCs w:val="18"/>
              </w:rPr>
            </w:pPr>
            <w:r>
              <w:rPr>
                <w:sz w:val="18"/>
                <w:szCs w:val="18"/>
              </w:rPr>
              <w:t>—</w:t>
            </w:r>
          </w:p>
        </w:tc>
        <w:tc>
          <w:tcPr>
            <w:tcW w:w="943" w:type="dxa"/>
            <w:vAlign w:val="center"/>
          </w:tcPr>
          <w:p>
            <w:pPr>
              <w:spacing w:line="300" w:lineRule="exact"/>
              <w:ind w:firstLineChars="0" w:firstLine="0"/>
              <w:jc w:val="center"/>
              <w:rPr>
                <w:sz w:val="18"/>
                <w:szCs w:val="18"/>
              </w:rPr>
            </w:pPr>
            <w:r>
              <w:rPr>
                <w:kern w:val="0"/>
                <w:sz w:val="18"/>
                <w:szCs w:val="18"/>
              </w:rPr>
              <w:t>预期</w:t>
            </w:r>
          </w:p>
        </w:tc>
      </w:tr>
      <w:tr>
        <w:trPr>
          <w:trHeight w:val="397"/>
        </w:trPr>
        <w:tc>
          <w:tcPr>
            <w:tcW w:w="988" w:type="dxa"/>
            <w:vMerge/>
            <w:vAlign w:val="center"/>
          </w:tcPr>
          <w:p/>
        </w:tc>
        <w:tc>
          <w:tcPr>
            <w:tcW w:w="3543"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rPr>
                <w:bCs/>
                <w:kern w:val="0"/>
                <w:sz w:val="18"/>
                <w:szCs w:val="18"/>
              </w:rPr>
            </w:pPr>
            <w:r>
              <w:rPr>
                <w:sz w:val="18"/>
                <w:szCs w:val="18"/>
              </w:rPr>
              <w:t>14、每万人发明专利拥有量（件）</w:t>
            </w:r>
          </w:p>
        </w:tc>
        <w:tc>
          <w:tcPr>
            <w:tcW w:w="942" w:type="dxa"/>
            <w:tcBorders>
              <w:top w:val="single" w:sz="4" w:space="0" w:color="auto"/>
              <w:left w:val="single" w:sz="4" w:space="0" w:color="auto"/>
              <w:bottom w:val="single" w:sz="4" w:space="0" w:color="auto"/>
              <w:right w:val="single" w:sz="4" w:space="0" w:color="auto"/>
            </w:tcBorders>
            <w:vAlign w:val="center"/>
          </w:tcPr>
          <w:p>
            <w:pPr>
              <w:spacing w:line="300" w:lineRule="exact"/>
              <w:ind w:firstLineChars="0" w:firstLine="0"/>
              <w:jc w:val="center"/>
              <w:rPr>
                <w:sz w:val="18"/>
                <w:szCs w:val="18"/>
              </w:rPr>
            </w:pPr>
            <w:r>
              <w:rPr>
                <w:sz w:val="18"/>
                <w:szCs w:val="18"/>
              </w:rPr>
              <w:t>—　</w:t>
            </w:r>
          </w:p>
        </w:tc>
        <w:tc>
          <w:tcPr>
            <w:tcW w:w="947" w:type="dxa"/>
            <w:tcBorders>
              <w:top w:val="single" w:sz="4" w:space="0" w:color="auto"/>
              <w:left w:val="single" w:sz="4" w:space="0" w:color="auto"/>
              <w:bottom w:val="single" w:sz="4" w:space="0" w:color="auto"/>
              <w:right w:val="single" w:sz="4" w:space="0" w:color="auto"/>
            </w:tcBorders>
            <w:vAlign w:val="center"/>
          </w:tcPr>
          <w:p>
            <w:pPr>
              <w:spacing w:line="300" w:lineRule="exact"/>
              <w:ind w:firstLineChars="0" w:firstLine="0"/>
              <w:jc w:val="center"/>
              <w:rPr>
                <w:sz w:val="18"/>
                <w:szCs w:val="18"/>
              </w:rPr>
            </w:pPr>
            <w:r>
              <w:rPr>
                <w:sz w:val="18"/>
                <w:szCs w:val="18"/>
              </w:rPr>
              <w:t>10.0</w:t>
            </w:r>
          </w:p>
        </w:tc>
        <w:tc>
          <w:tcPr>
            <w:tcW w:w="943"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jc w:val="center"/>
              <w:rPr>
                <w:bCs/>
                <w:kern w:val="0"/>
                <w:sz w:val="18"/>
                <w:szCs w:val="18"/>
              </w:rPr>
            </w:pPr>
            <w:r>
              <w:rPr>
                <w:sz w:val="18"/>
                <w:szCs w:val="18"/>
              </w:rPr>
              <w:t>0.9</w:t>
            </w:r>
          </w:p>
        </w:tc>
        <w:tc>
          <w:tcPr>
            <w:tcW w:w="943" w:type="dxa"/>
            <w:vAlign w:val="center"/>
          </w:tcPr>
          <w:p>
            <w:pPr>
              <w:spacing w:line="300" w:lineRule="exact"/>
              <w:ind w:firstLineChars="0" w:firstLine="0"/>
              <w:jc w:val="center"/>
              <w:rPr>
                <w:sz w:val="18"/>
                <w:szCs w:val="18"/>
              </w:rPr>
            </w:pPr>
            <w:r>
              <w:rPr>
                <w:kern w:val="0"/>
                <w:sz w:val="18"/>
                <w:szCs w:val="18"/>
              </w:rPr>
              <w:t>预期</w:t>
            </w:r>
          </w:p>
        </w:tc>
      </w:tr>
      <w:tr>
        <w:trPr>
          <w:trHeight w:val="397"/>
        </w:trPr>
        <w:tc>
          <w:tcPr>
            <w:tcW w:w="988" w:type="dxa"/>
            <w:vMerge w:val="restart"/>
            <w:vAlign w:val="center"/>
          </w:tcPr>
          <w:p>
            <w:pPr>
              <w:widowControl/>
              <w:adjustRightInd w:val="0"/>
              <w:snapToGrid w:val="0"/>
              <w:spacing w:line="240" w:lineRule="auto"/>
              <w:ind w:firstLineChars="0" w:firstLine="0"/>
              <w:jc w:val="center"/>
              <w:rPr>
                <w:bCs/>
                <w:kern w:val="0"/>
                <w:sz w:val="18"/>
                <w:szCs w:val="18"/>
              </w:rPr>
            </w:pPr>
            <w:r>
              <w:rPr>
                <w:bCs/>
                <w:kern w:val="0"/>
                <w:sz w:val="18"/>
                <w:szCs w:val="18"/>
              </w:rPr>
              <w:t>生态发展</w:t>
            </w:r>
          </w:p>
          <w:p>
            <w:pPr>
              <w:widowControl/>
              <w:adjustRightInd w:val="0"/>
              <w:snapToGrid w:val="0"/>
              <w:spacing w:line="240" w:lineRule="auto"/>
              <w:ind w:firstLineChars="0" w:firstLine="0"/>
              <w:jc w:val="center"/>
              <w:rPr>
                <w:bCs/>
                <w:kern w:val="0"/>
                <w:sz w:val="18"/>
                <w:szCs w:val="18"/>
              </w:rPr>
            </w:pPr>
            <w:r>
              <w:rPr>
                <w:bCs/>
                <w:kern w:val="0"/>
                <w:sz w:val="18"/>
                <w:szCs w:val="18"/>
              </w:rPr>
              <w:t>（7个）</w:t>
            </w:r>
          </w:p>
        </w:tc>
        <w:tc>
          <w:tcPr>
            <w:tcW w:w="3543"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rPr>
                <w:bCs/>
                <w:kern w:val="0"/>
                <w:sz w:val="18"/>
                <w:szCs w:val="18"/>
              </w:rPr>
            </w:pPr>
            <w:r>
              <w:rPr>
                <w:sz w:val="18"/>
                <w:szCs w:val="18"/>
              </w:rPr>
              <w:t>15、单位GDP能源消耗降幅（%）</w:t>
            </w:r>
          </w:p>
        </w:tc>
        <w:tc>
          <w:tcPr>
            <w:tcW w:w="1889" w:type="dxa"/>
            <w:gridSpan w:val="2"/>
            <w:tcBorders>
              <w:top w:val="single" w:sz="4" w:space="0" w:color="auto"/>
              <w:left w:val="single" w:sz="4" w:space="0" w:color="auto"/>
              <w:bottom w:val="single" w:sz="4" w:space="0" w:color="auto"/>
              <w:right w:val="single" w:sz="4" w:space="0" w:color="auto"/>
            </w:tcBorders>
            <w:vAlign w:val="center"/>
          </w:tcPr>
          <w:p>
            <w:pPr>
              <w:spacing w:line="300" w:lineRule="exact"/>
              <w:ind w:firstLineChars="0" w:firstLine="0"/>
              <w:jc w:val="center"/>
              <w:rPr>
                <w:sz w:val="18"/>
                <w:szCs w:val="18"/>
              </w:rPr>
            </w:pPr>
            <w:r>
              <w:rPr>
                <w:sz w:val="18"/>
                <w:szCs w:val="18"/>
              </w:rPr>
              <w:t>核定范围内</w:t>
            </w:r>
          </w:p>
        </w:tc>
        <w:tc>
          <w:tcPr>
            <w:tcW w:w="938"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jc w:val="center"/>
              <w:rPr>
                <w:bCs/>
                <w:kern w:val="0"/>
                <w:sz w:val="18"/>
                <w:szCs w:val="18"/>
              </w:rPr>
            </w:pPr>
            <w:r>
              <w:rPr>
                <w:sz w:val="18"/>
                <w:szCs w:val="18"/>
              </w:rPr>
              <w:t>—</w:t>
            </w:r>
          </w:p>
        </w:tc>
        <w:tc>
          <w:tcPr>
            <w:tcW w:w="948" w:type="dxa"/>
            <w:vAlign w:val="center"/>
          </w:tcPr>
          <w:p>
            <w:pPr>
              <w:spacing w:line="300" w:lineRule="exact"/>
              <w:ind w:firstLineChars="0" w:firstLine="0"/>
              <w:jc w:val="center"/>
              <w:rPr>
                <w:sz w:val="18"/>
                <w:szCs w:val="18"/>
              </w:rPr>
            </w:pPr>
            <w:r>
              <w:rPr>
                <w:kern w:val="0"/>
                <w:sz w:val="18"/>
                <w:szCs w:val="18"/>
              </w:rPr>
              <w:t>约束</w:t>
            </w:r>
          </w:p>
        </w:tc>
      </w:tr>
      <w:tr>
        <w:trPr>
          <w:trHeight w:val="397"/>
        </w:trPr>
        <w:tc>
          <w:tcPr>
            <w:tcW w:w="988" w:type="dxa"/>
            <w:vMerge/>
            <w:vAlign w:val="center"/>
          </w:tcPr>
          <w:p/>
        </w:tc>
        <w:tc>
          <w:tcPr>
            <w:tcW w:w="3543"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rPr>
                <w:bCs/>
                <w:kern w:val="0"/>
                <w:sz w:val="18"/>
                <w:szCs w:val="18"/>
              </w:rPr>
            </w:pPr>
            <w:r>
              <w:rPr>
                <w:sz w:val="18"/>
                <w:szCs w:val="18"/>
              </w:rPr>
              <w:t>16、单位GDP二氧化碳排放降幅（%）</w:t>
            </w:r>
          </w:p>
        </w:tc>
        <w:tc>
          <w:tcPr>
            <w:tcW w:w="1889" w:type="dxa"/>
            <w:gridSpan w:val="2"/>
            <w:tcBorders>
              <w:top w:val="single" w:sz="4" w:space="0" w:color="auto"/>
              <w:left w:val="single" w:sz="4" w:space="0" w:color="auto"/>
              <w:bottom w:val="single" w:sz="4" w:space="0" w:color="auto"/>
              <w:right w:val="single" w:sz="4" w:space="0" w:color="auto"/>
            </w:tcBorders>
            <w:vAlign w:val="center"/>
          </w:tcPr>
          <w:p>
            <w:pPr>
              <w:spacing w:line="300" w:lineRule="exact"/>
              <w:ind w:firstLineChars="0" w:firstLine="0"/>
              <w:jc w:val="center"/>
              <w:rPr>
                <w:sz w:val="18"/>
                <w:szCs w:val="18"/>
              </w:rPr>
            </w:pPr>
            <w:r>
              <w:rPr>
                <w:sz w:val="18"/>
                <w:szCs w:val="18"/>
              </w:rPr>
              <w:t>核定范围内</w:t>
            </w:r>
          </w:p>
        </w:tc>
        <w:tc>
          <w:tcPr>
            <w:tcW w:w="938"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jc w:val="center"/>
              <w:rPr>
                <w:bCs/>
                <w:kern w:val="0"/>
                <w:sz w:val="18"/>
                <w:szCs w:val="18"/>
              </w:rPr>
            </w:pPr>
            <w:r>
              <w:rPr>
                <w:sz w:val="18"/>
                <w:szCs w:val="18"/>
              </w:rPr>
              <w:t>—</w:t>
            </w:r>
          </w:p>
        </w:tc>
        <w:tc>
          <w:tcPr>
            <w:tcW w:w="948" w:type="dxa"/>
            <w:vAlign w:val="center"/>
          </w:tcPr>
          <w:p>
            <w:pPr>
              <w:spacing w:line="300" w:lineRule="exact"/>
              <w:ind w:firstLineChars="0" w:firstLine="0"/>
              <w:jc w:val="center"/>
              <w:rPr>
                <w:sz w:val="18"/>
                <w:szCs w:val="18"/>
              </w:rPr>
            </w:pPr>
            <w:r>
              <w:rPr>
                <w:kern w:val="0"/>
                <w:sz w:val="18"/>
                <w:szCs w:val="18"/>
              </w:rPr>
              <w:t>约束</w:t>
            </w:r>
          </w:p>
        </w:tc>
      </w:tr>
      <w:tr>
        <w:trPr>
          <w:trHeight w:val="397"/>
        </w:trPr>
        <w:tc>
          <w:tcPr>
            <w:tcW w:w="988" w:type="dxa"/>
            <w:vMerge/>
            <w:vAlign w:val="center"/>
          </w:tcPr>
          <w:p/>
        </w:tc>
        <w:tc>
          <w:tcPr>
            <w:tcW w:w="3543"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rPr>
                <w:bCs/>
                <w:kern w:val="0"/>
                <w:sz w:val="18"/>
                <w:szCs w:val="18"/>
              </w:rPr>
            </w:pPr>
            <w:r>
              <w:rPr>
                <w:sz w:val="18"/>
                <w:szCs w:val="18"/>
              </w:rPr>
              <w:t>17、城市空气优良天数比例（%）</w:t>
            </w:r>
          </w:p>
        </w:tc>
        <w:tc>
          <w:tcPr>
            <w:tcW w:w="942" w:type="dxa"/>
            <w:tcBorders>
              <w:top w:val="single" w:sz="4" w:space="0" w:color="auto"/>
              <w:left w:val="single" w:sz="4" w:space="0" w:color="auto"/>
              <w:bottom w:val="single" w:sz="4" w:space="0" w:color="auto"/>
              <w:right w:val="single" w:sz="4" w:space="0" w:color="auto"/>
            </w:tcBorders>
            <w:vAlign w:val="center"/>
          </w:tcPr>
          <w:p>
            <w:pPr>
              <w:spacing w:line="300" w:lineRule="exact"/>
              <w:ind w:firstLineChars="0" w:firstLine="0"/>
              <w:jc w:val="center"/>
              <w:rPr>
                <w:sz w:val="18"/>
                <w:szCs w:val="18"/>
              </w:rPr>
            </w:pPr>
            <w:r>
              <w:rPr>
                <w:sz w:val="18"/>
                <w:szCs w:val="18"/>
              </w:rPr>
              <w:t>100</w:t>
            </w:r>
          </w:p>
        </w:tc>
        <w:tc>
          <w:tcPr>
            <w:tcW w:w="947" w:type="dxa"/>
            <w:tcBorders>
              <w:top w:val="single" w:sz="4" w:space="0" w:color="auto"/>
              <w:left w:val="single" w:sz="4" w:space="0" w:color="auto"/>
              <w:bottom w:val="single" w:sz="4" w:space="0" w:color="auto"/>
              <w:right w:val="single" w:sz="4" w:space="0" w:color="auto"/>
            </w:tcBorders>
            <w:vAlign w:val="center"/>
          </w:tcPr>
          <w:p>
            <w:pPr>
              <w:spacing w:line="300" w:lineRule="exact"/>
              <w:ind w:firstLineChars="0" w:firstLine="0"/>
              <w:jc w:val="center"/>
              <w:rPr>
                <w:sz w:val="18"/>
                <w:szCs w:val="18"/>
              </w:rPr>
            </w:pPr>
            <w:r>
              <w:rPr>
                <w:kern w:val="0"/>
                <w:sz w:val="18"/>
                <w:szCs w:val="18"/>
              </w:rPr>
              <w:t>＞99</w:t>
            </w:r>
          </w:p>
        </w:tc>
        <w:tc>
          <w:tcPr>
            <w:tcW w:w="943"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jc w:val="center"/>
              <w:rPr>
                <w:bCs/>
                <w:kern w:val="0"/>
                <w:sz w:val="18"/>
                <w:szCs w:val="18"/>
              </w:rPr>
            </w:pPr>
            <w:r>
              <w:rPr>
                <w:sz w:val="18"/>
                <w:szCs w:val="18"/>
              </w:rPr>
              <w:t>100</w:t>
            </w:r>
          </w:p>
        </w:tc>
        <w:tc>
          <w:tcPr>
            <w:tcW w:w="943" w:type="dxa"/>
            <w:vAlign w:val="center"/>
          </w:tcPr>
          <w:p>
            <w:pPr>
              <w:spacing w:line="300" w:lineRule="exact"/>
              <w:ind w:firstLineChars="0" w:firstLine="0"/>
              <w:jc w:val="center"/>
              <w:rPr>
                <w:sz w:val="18"/>
                <w:szCs w:val="18"/>
              </w:rPr>
            </w:pPr>
            <w:r>
              <w:rPr>
                <w:kern w:val="0"/>
                <w:sz w:val="18"/>
                <w:szCs w:val="18"/>
              </w:rPr>
              <w:t>约束</w:t>
            </w:r>
          </w:p>
        </w:tc>
      </w:tr>
      <w:tr>
        <w:trPr>
          <w:trHeight w:val="397"/>
        </w:trPr>
        <w:tc>
          <w:tcPr>
            <w:tcW w:w="988" w:type="dxa"/>
            <w:vMerge/>
            <w:vAlign w:val="center"/>
          </w:tcPr>
          <w:p/>
        </w:tc>
        <w:tc>
          <w:tcPr>
            <w:tcW w:w="3543"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rPr>
                <w:bCs/>
                <w:kern w:val="0"/>
                <w:sz w:val="18"/>
                <w:szCs w:val="18"/>
              </w:rPr>
            </w:pPr>
            <w:r>
              <w:rPr>
                <w:sz w:val="18"/>
                <w:szCs w:val="18"/>
              </w:rPr>
              <w:t>18、达到或好于Ⅲ类水体占地表水比例（%）</w:t>
            </w:r>
          </w:p>
        </w:tc>
        <w:tc>
          <w:tcPr>
            <w:tcW w:w="942" w:type="dxa"/>
            <w:tcBorders>
              <w:top w:val="single" w:sz="4" w:space="0" w:color="auto"/>
              <w:left w:val="single" w:sz="4" w:space="0" w:color="auto"/>
              <w:bottom w:val="single" w:sz="4" w:space="0" w:color="auto"/>
              <w:right w:val="single" w:sz="4" w:space="0" w:color="auto"/>
            </w:tcBorders>
            <w:vAlign w:val="center"/>
          </w:tcPr>
          <w:p>
            <w:pPr>
              <w:spacing w:line="300" w:lineRule="exact"/>
              <w:ind w:firstLineChars="0" w:firstLine="0"/>
              <w:jc w:val="center"/>
              <w:rPr>
                <w:sz w:val="18"/>
                <w:szCs w:val="18"/>
              </w:rPr>
            </w:pPr>
            <w:r>
              <w:rPr>
                <w:sz w:val="18"/>
                <w:szCs w:val="18"/>
              </w:rPr>
              <w:t>100</w:t>
            </w:r>
          </w:p>
        </w:tc>
        <w:tc>
          <w:tcPr>
            <w:tcW w:w="947" w:type="dxa"/>
            <w:tcBorders>
              <w:top w:val="single" w:sz="4" w:space="0" w:color="auto"/>
              <w:left w:val="single" w:sz="4" w:space="0" w:color="auto"/>
              <w:bottom w:val="single" w:sz="4" w:space="0" w:color="auto"/>
              <w:right w:val="single" w:sz="4" w:space="0" w:color="auto"/>
            </w:tcBorders>
            <w:vAlign w:val="center"/>
          </w:tcPr>
          <w:p>
            <w:pPr>
              <w:spacing w:line="300" w:lineRule="exact"/>
              <w:ind w:firstLineChars="0" w:firstLine="0"/>
              <w:jc w:val="center"/>
              <w:rPr>
                <w:sz w:val="18"/>
                <w:szCs w:val="18"/>
              </w:rPr>
            </w:pPr>
            <w:r>
              <w:rPr>
                <w:sz w:val="18"/>
                <w:szCs w:val="18"/>
              </w:rPr>
              <w:t>100</w:t>
            </w:r>
          </w:p>
        </w:tc>
        <w:tc>
          <w:tcPr>
            <w:tcW w:w="943"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jc w:val="center"/>
              <w:rPr>
                <w:bCs/>
                <w:kern w:val="0"/>
                <w:sz w:val="18"/>
                <w:szCs w:val="18"/>
              </w:rPr>
            </w:pPr>
            <w:r>
              <w:rPr>
                <w:sz w:val="18"/>
                <w:szCs w:val="18"/>
              </w:rPr>
              <w:t>100</w:t>
            </w:r>
          </w:p>
        </w:tc>
        <w:tc>
          <w:tcPr>
            <w:tcW w:w="943" w:type="dxa"/>
            <w:vAlign w:val="center"/>
          </w:tcPr>
          <w:p>
            <w:pPr>
              <w:spacing w:line="300" w:lineRule="exact"/>
              <w:ind w:firstLineChars="0" w:firstLine="0"/>
              <w:jc w:val="center"/>
              <w:rPr>
                <w:sz w:val="18"/>
                <w:szCs w:val="18"/>
              </w:rPr>
            </w:pPr>
            <w:r>
              <w:rPr>
                <w:kern w:val="0"/>
                <w:sz w:val="18"/>
                <w:szCs w:val="18"/>
              </w:rPr>
              <w:t>约束</w:t>
            </w:r>
          </w:p>
        </w:tc>
      </w:tr>
      <w:tr>
        <w:trPr>
          <w:trHeight w:val="397"/>
        </w:trPr>
        <w:tc>
          <w:tcPr>
            <w:tcW w:w="988" w:type="dxa"/>
            <w:vMerge/>
            <w:vAlign w:val="center"/>
          </w:tcPr>
          <w:p/>
        </w:tc>
        <w:tc>
          <w:tcPr>
            <w:tcW w:w="3543"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rPr>
                <w:bCs/>
                <w:kern w:val="0"/>
                <w:sz w:val="18"/>
                <w:szCs w:val="18"/>
              </w:rPr>
            </w:pPr>
            <w:r>
              <w:rPr>
                <w:sz w:val="18"/>
                <w:szCs w:val="18"/>
              </w:rPr>
              <w:t>19、森林覆盖率（%）</w:t>
            </w:r>
          </w:p>
        </w:tc>
        <w:tc>
          <w:tcPr>
            <w:tcW w:w="942" w:type="dxa"/>
            <w:tcBorders>
              <w:top w:val="single" w:sz="4" w:space="0" w:color="auto"/>
              <w:left w:val="single" w:sz="4" w:space="0" w:color="auto"/>
              <w:bottom w:val="single" w:sz="4" w:space="0" w:color="auto"/>
              <w:right w:val="single" w:sz="4" w:space="0" w:color="auto"/>
            </w:tcBorders>
            <w:vAlign w:val="center"/>
          </w:tcPr>
          <w:p>
            <w:pPr>
              <w:spacing w:line="300" w:lineRule="exact"/>
              <w:ind w:firstLineChars="0" w:firstLine="0"/>
              <w:jc w:val="center"/>
              <w:rPr>
                <w:sz w:val="18"/>
                <w:szCs w:val="18"/>
              </w:rPr>
            </w:pPr>
            <w:r>
              <w:rPr>
                <w:sz w:val="18"/>
                <w:szCs w:val="18"/>
              </w:rPr>
              <w:t>34.3</w:t>
            </w:r>
          </w:p>
        </w:tc>
        <w:tc>
          <w:tcPr>
            <w:tcW w:w="947" w:type="dxa"/>
            <w:tcBorders>
              <w:top w:val="single" w:sz="4" w:space="0" w:color="auto"/>
              <w:left w:val="single" w:sz="4" w:space="0" w:color="auto"/>
              <w:bottom w:val="single" w:sz="4" w:space="0" w:color="auto"/>
              <w:right w:val="single" w:sz="4" w:space="0" w:color="auto"/>
            </w:tcBorders>
            <w:vAlign w:val="center"/>
          </w:tcPr>
          <w:p>
            <w:pPr>
              <w:spacing w:line="300" w:lineRule="exact"/>
              <w:ind w:firstLineChars="0" w:firstLine="0"/>
              <w:jc w:val="center"/>
              <w:rPr>
                <w:sz w:val="18"/>
                <w:szCs w:val="18"/>
              </w:rPr>
            </w:pPr>
            <w:r>
              <w:rPr>
                <w:sz w:val="18"/>
                <w:szCs w:val="18"/>
              </w:rPr>
              <w:t>34.3</w:t>
            </w:r>
          </w:p>
        </w:tc>
        <w:tc>
          <w:tcPr>
            <w:tcW w:w="943"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jc w:val="center"/>
              <w:rPr>
                <w:bCs/>
                <w:kern w:val="0"/>
                <w:sz w:val="18"/>
                <w:szCs w:val="18"/>
              </w:rPr>
            </w:pPr>
            <w:r>
              <w:rPr>
                <w:bCs/>
                <w:kern w:val="0"/>
                <w:sz w:val="18"/>
                <w:szCs w:val="18"/>
              </w:rPr>
              <w:t>35.5</w:t>
            </w:r>
          </w:p>
        </w:tc>
        <w:tc>
          <w:tcPr>
            <w:tcW w:w="943" w:type="dxa"/>
            <w:vAlign w:val="center"/>
          </w:tcPr>
          <w:p>
            <w:pPr>
              <w:spacing w:line="300" w:lineRule="exact"/>
              <w:ind w:firstLineChars="0" w:firstLine="0"/>
              <w:jc w:val="center"/>
              <w:rPr>
                <w:sz w:val="18"/>
                <w:szCs w:val="18"/>
              </w:rPr>
            </w:pPr>
            <w:r>
              <w:rPr>
                <w:kern w:val="0"/>
                <w:sz w:val="18"/>
                <w:szCs w:val="18"/>
              </w:rPr>
              <w:t>约束</w:t>
            </w:r>
          </w:p>
        </w:tc>
      </w:tr>
      <w:tr>
        <w:trPr>
          <w:trHeight w:val="397"/>
        </w:trPr>
        <w:tc>
          <w:tcPr>
            <w:tcW w:w="988" w:type="dxa"/>
            <w:vMerge/>
            <w:vAlign w:val="center"/>
          </w:tcPr>
          <w:p/>
        </w:tc>
        <w:tc>
          <w:tcPr>
            <w:tcW w:w="3543"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rPr>
                <w:bCs/>
                <w:kern w:val="0"/>
                <w:sz w:val="18"/>
                <w:szCs w:val="18"/>
              </w:rPr>
            </w:pPr>
            <w:r>
              <w:rPr>
                <w:sz w:val="18"/>
                <w:szCs w:val="18"/>
              </w:rPr>
              <w:t>20、草原综合植被覆盖率（%）</w:t>
            </w:r>
          </w:p>
        </w:tc>
        <w:tc>
          <w:tcPr>
            <w:tcW w:w="942" w:type="dxa"/>
            <w:tcBorders>
              <w:top w:val="single" w:sz="4" w:space="0" w:color="auto"/>
              <w:left w:val="single" w:sz="4" w:space="0" w:color="auto"/>
              <w:bottom w:val="single" w:sz="4" w:space="0" w:color="auto"/>
              <w:right w:val="single" w:sz="4" w:space="0" w:color="auto"/>
            </w:tcBorders>
            <w:vAlign w:val="center"/>
          </w:tcPr>
          <w:p>
            <w:pPr>
              <w:spacing w:line="300" w:lineRule="exact"/>
              <w:ind w:firstLineChars="0" w:firstLine="0"/>
              <w:jc w:val="center"/>
              <w:rPr>
                <w:sz w:val="18"/>
                <w:szCs w:val="18"/>
              </w:rPr>
            </w:pPr>
            <w:r>
              <w:rPr>
                <w:sz w:val="18"/>
                <w:szCs w:val="18"/>
              </w:rPr>
              <w:t>16.06</w:t>
            </w:r>
          </w:p>
        </w:tc>
        <w:tc>
          <w:tcPr>
            <w:tcW w:w="947" w:type="dxa"/>
            <w:tcBorders>
              <w:top w:val="single" w:sz="4" w:space="0" w:color="auto"/>
              <w:left w:val="single" w:sz="4" w:space="0" w:color="auto"/>
              <w:bottom w:val="single" w:sz="4" w:space="0" w:color="auto"/>
              <w:right w:val="single" w:sz="4" w:space="0" w:color="auto"/>
            </w:tcBorders>
            <w:vAlign w:val="center"/>
          </w:tcPr>
          <w:p>
            <w:pPr>
              <w:spacing w:line="300" w:lineRule="exact"/>
              <w:ind w:firstLineChars="0" w:firstLine="0"/>
              <w:jc w:val="center"/>
              <w:rPr>
                <w:sz w:val="18"/>
                <w:szCs w:val="18"/>
              </w:rPr>
            </w:pPr>
            <w:r>
              <w:rPr>
                <w:sz w:val="18"/>
                <w:szCs w:val="18"/>
              </w:rPr>
              <w:t>18.00</w:t>
            </w:r>
          </w:p>
        </w:tc>
        <w:tc>
          <w:tcPr>
            <w:tcW w:w="943"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jc w:val="center"/>
              <w:rPr>
                <w:bCs/>
                <w:kern w:val="0"/>
                <w:sz w:val="18"/>
                <w:szCs w:val="18"/>
              </w:rPr>
            </w:pPr>
            <w:r>
              <w:rPr>
                <w:bCs/>
                <w:kern w:val="0"/>
                <w:sz w:val="18"/>
                <w:szCs w:val="18"/>
              </w:rPr>
              <w:t>18.00</w:t>
            </w:r>
          </w:p>
        </w:tc>
        <w:tc>
          <w:tcPr>
            <w:tcW w:w="943" w:type="dxa"/>
            <w:vAlign w:val="center"/>
          </w:tcPr>
          <w:p>
            <w:pPr>
              <w:spacing w:line="300" w:lineRule="exact"/>
              <w:ind w:firstLineChars="0" w:firstLine="0"/>
              <w:jc w:val="center"/>
              <w:rPr>
                <w:sz w:val="18"/>
                <w:szCs w:val="18"/>
              </w:rPr>
            </w:pPr>
            <w:r>
              <w:rPr>
                <w:kern w:val="0"/>
                <w:sz w:val="18"/>
                <w:szCs w:val="18"/>
              </w:rPr>
              <w:t>约束</w:t>
            </w:r>
          </w:p>
        </w:tc>
      </w:tr>
      <w:tr>
        <w:trPr>
          <w:trHeight w:val="397"/>
        </w:trPr>
        <w:tc>
          <w:tcPr>
            <w:tcW w:w="988" w:type="dxa"/>
            <w:vMerge/>
            <w:vAlign w:val="center"/>
          </w:tcPr>
          <w:p/>
        </w:tc>
        <w:tc>
          <w:tcPr>
            <w:tcW w:w="3543"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rPr>
                <w:bCs/>
                <w:kern w:val="0"/>
                <w:sz w:val="18"/>
                <w:szCs w:val="18"/>
              </w:rPr>
            </w:pPr>
            <w:r>
              <w:rPr>
                <w:sz w:val="18"/>
                <w:szCs w:val="18"/>
              </w:rPr>
              <w:t>21、耕地保有量（万公顷）</w:t>
            </w:r>
          </w:p>
        </w:tc>
        <w:tc>
          <w:tcPr>
            <w:tcW w:w="942"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jc w:val="center"/>
              <w:rPr>
                <w:bCs/>
                <w:kern w:val="0"/>
                <w:sz w:val="18"/>
                <w:szCs w:val="18"/>
              </w:rPr>
            </w:pPr>
            <w:r>
              <w:rPr>
                <w:bCs/>
                <w:kern w:val="0"/>
                <w:sz w:val="18"/>
                <w:szCs w:val="18"/>
              </w:rPr>
              <w:t>0.4778</w:t>
            </w:r>
          </w:p>
        </w:tc>
        <w:tc>
          <w:tcPr>
            <w:tcW w:w="947"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jc w:val="center"/>
              <w:rPr>
                <w:bCs/>
                <w:kern w:val="0"/>
                <w:sz w:val="18"/>
                <w:szCs w:val="18"/>
              </w:rPr>
            </w:pPr>
            <w:r>
              <w:rPr>
                <w:bCs/>
                <w:kern w:val="0"/>
                <w:sz w:val="18"/>
                <w:szCs w:val="18"/>
              </w:rPr>
              <w:t>三调</w:t>
            </w:r>
          </w:p>
          <w:p>
            <w:pPr>
              <w:widowControl/>
              <w:adjustRightInd w:val="0"/>
              <w:snapToGrid w:val="0"/>
              <w:spacing w:line="240" w:lineRule="auto"/>
              <w:ind w:firstLineChars="0" w:firstLine="0"/>
              <w:jc w:val="center"/>
              <w:rPr>
                <w:bCs/>
                <w:kern w:val="0"/>
                <w:sz w:val="18"/>
                <w:szCs w:val="18"/>
              </w:rPr>
            </w:pPr>
            <w:r>
              <w:rPr>
                <w:bCs/>
                <w:kern w:val="0"/>
                <w:sz w:val="18"/>
                <w:szCs w:val="18"/>
              </w:rPr>
              <w:t>未公布</w:t>
            </w:r>
          </w:p>
        </w:tc>
        <w:tc>
          <w:tcPr>
            <w:tcW w:w="943"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jc w:val="center"/>
              <w:rPr>
                <w:bCs/>
                <w:kern w:val="0"/>
                <w:sz w:val="18"/>
                <w:szCs w:val="18"/>
              </w:rPr>
            </w:pPr>
            <w:r>
              <w:rPr>
                <w:bCs/>
                <w:kern w:val="0"/>
                <w:sz w:val="18"/>
                <w:szCs w:val="18"/>
              </w:rPr>
              <w:t>0.8347</w:t>
            </w:r>
          </w:p>
        </w:tc>
        <w:tc>
          <w:tcPr>
            <w:tcW w:w="943" w:type="dxa"/>
            <w:vAlign w:val="center"/>
          </w:tcPr>
          <w:p>
            <w:pPr>
              <w:spacing w:line="300" w:lineRule="exact"/>
              <w:ind w:firstLineChars="0" w:firstLine="0"/>
              <w:jc w:val="center"/>
              <w:rPr>
                <w:sz w:val="18"/>
                <w:szCs w:val="18"/>
              </w:rPr>
            </w:pPr>
            <w:r>
              <w:rPr>
                <w:kern w:val="0"/>
                <w:sz w:val="18"/>
                <w:szCs w:val="18"/>
              </w:rPr>
              <w:t>约束</w:t>
            </w:r>
          </w:p>
        </w:tc>
      </w:tr>
      <w:tr>
        <w:trPr>
          <w:trHeight w:val="397"/>
        </w:trPr>
        <w:tc>
          <w:tcPr>
            <w:tcW w:w="988" w:type="dxa"/>
            <w:vMerge w:val="restart"/>
            <w:vAlign w:val="center"/>
          </w:tcPr>
          <w:p>
            <w:pPr>
              <w:adjustRightInd w:val="0"/>
              <w:snapToGrid w:val="0"/>
              <w:spacing w:line="240" w:lineRule="auto"/>
              <w:ind w:firstLineChars="0" w:firstLine="0"/>
              <w:jc w:val="center"/>
              <w:rPr>
                <w:bCs/>
                <w:kern w:val="0"/>
                <w:sz w:val="18"/>
                <w:szCs w:val="18"/>
              </w:rPr>
            </w:pPr>
            <w:r>
              <w:rPr>
                <w:bCs/>
                <w:kern w:val="0"/>
                <w:sz w:val="18"/>
                <w:szCs w:val="18"/>
              </w:rPr>
              <w:t>安全发展</w:t>
            </w:r>
          </w:p>
          <w:p>
            <w:pPr>
              <w:adjustRightInd w:val="0"/>
              <w:snapToGrid w:val="0"/>
              <w:spacing w:line="240" w:lineRule="auto"/>
              <w:ind w:firstLineChars="0" w:firstLine="0"/>
              <w:jc w:val="center"/>
              <w:rPr>
                <w:bCs/>
                <w:kern w:val="0"/>
                <w:sz w:val="18"/>
                <w:szCs w:val="18"/>
              </w:rPr>
            </w:pPr>
            <w:r>
              <w:rPr>
                <w:bCs/>
                <w:kern w:val="0"/>
                <w:sz w:val="18"/>
                <w:szCs w:val="18"/>
              </w:rPr>
              <w:t>（3个）</w:t>
            </w:r>
          </w:p>
        </w:tc>
        <w:tc>
          <w:tcPr>
            <w:tcW w:w="3543"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rPr>
                <w:bCs/>
                <w:kern w:val="0"/>
                <w:sz w:val="18"/>
                <w:szCs w:val="18"/>
              </w:rPr>
            </w:pPr>
            <w:r>
              <w:rPr>
                <w:sz w:val="18"/>
                <w:szCs w:val="18"/>
              </w:rPr>
              <w:t>22、青稞产量（万吨）</w:t>
            </w:r>
          </w:p>
        </w:tc>
        <w:tc>
          <w:tcPr>
            <w:tcW w:w="942" w:type="dxa"/>
            <w:tcBorders>
              <w:top w:val="single" w:sz="4" w:space="0" w:color="auto"/>
              <w:left w:val="single" w:sz="4" w:space="0" w:color="auto"/>
              <w:bottom w:val="single" w:sz="4" w:space="0" w:color="auto"/>
              <w:right w:val="single" w:sz="4" w:space="0" w:color="auto"/>
            </w:tcBorders>
            <w:vAlign w:val="center"/>
          </w:tcPr>
          <w:p>
            <w:pPr>
              <w:spacing w:line="300" w:lineRule="exact"/>
              <w:ind w:firstLineChars="0" w:firstLine="0"/>
              <w:jc w:val="center"/>
              <w:rPr>
                <w:bCs/>
                <w:kern w:val="0"/>
                <w:sz w:val="18"/>
                <w:szCs w:val="18"/>
              </w:rPr>
            </w:pPr>
            <w:r>
              <w:rPr>
                <w:sz w:val="18"/>
                <w:szCs w:val="18"/>
              </w:rPr>
              <w:t>0.69</w:t>
            </w:r>
          </w:p>
        </w:tc>
        <w:tc>
          <w:tcPr>
            <w:tcW w:w="947" w:type="dxa"/>
            <w:tcBorders>
              <w:top w:val="single" w:sz="4" w:space="0" w:color="auto"/>
              <w:left w:val="single" w:sz="4" w:space="0" w:color="auto"/>
              <w:bottom w:val="single" w:sz="4" w:space="0" w:color="auto"/>
              <w:right w:val="single" w:sz="4" w:space="0" w:color="auto"/>
            </w:tcBorders>
            <w:vAlign w:val="center"/>
          </w:tcPr>
          <w:p>
            <w:pPr>
              <w:spacing w:line="300" w:lineRule="exact"/>
              <w:ind w:firstLineChars="0" w:firstLine="0"/>
              <w:jc w:val="center"/>
              <w:rPr>
                <w:bCs/>
                <w:kern w:val="0"/>
                <w:sz w:val="18"/>
                <w:szCs w:val="18"/>
              </w:rPr>
            </w:pPr>
            <w:r>
              <w:rPr>
                <w:sz w:val="18"/>
                <w:szCs w:val="18"/>
              </w:rPr>
              <w:t>0.9</w:t>
            </w:r>
          </w:p>
        </w:tc>
        <w:tc>
          <w:tcPr>
            <w:tcW w:w="943"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jc w:val="center"/>
              <w:rPr>
                <w:bCs/>
                <w:kern w:val="0"/>
                <w:sz w:val="18"/>
                <w:szCs w:val="18"/>
              </w:rPr>
            </w:pPr>
            <w:r>
              <w:rPr>
                <w:bCs/>
                <w:kern w:val="0"/>
                <w:sz w:val="18"/>
                <w:szCs w:val="18"/>
              </w:rPr>
              <w:t>0.83</w:t>
            </w:r>
          </w:p>
        </w:tc>
        <w:tc>
          <w:tcPr>
            <w:tcW w:w="943" w:type="dxa"/>
            <w:vAlign w:val="center"/>
          </w:tcPr>
          <w:p>
            <w:pPr>
              <w:spacing w:line="300" w:lineRule="exact"/>
              <w:ind w:firstLineChars="0" w:firstLine="0"/>
              <w:jc w:val="center"/>
              <w:rPr>
                <w:sz w:val="18"/>
                <w:szCs w:val="18"/>
              </w:rPr>
            </w:pPr>
            <w:r>
              <w:rPr>
                <w:kern w:val="0"/>
                <w:sz w:val="18"/>
                <w:szCs w:val="18"/>
              </w:rPr>
              <w:t>约束</w:t>
            </w:r>
          </w:p>
        </w:tc>
      </w:tr>
      <w:tr>
        <w:trPr>
          <w:trHeight w:val="397"/>
        </w:trPr>
        <w:tc>
          <w:tcPr>
            <w:tcW w:w="988" w:type="dxa"/>
            <w:vMerge/>
            <w:vAlign w:val="center"/>
          </w:tcPr>
          <w:p/>
        </w:tc>
        <w:tc>
          <w:tcPr>
            <w:tcW w:w="3543"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rPr>
                <w:bCs/>
                <w:kern w:val="0"/>
                <w:sz w:val="18"/>
                <w:szCs w:val="18"/>
              </w:rPr>
            </w:pPr>
            <w:r>
              <w:rPr>
                <w:sz w:val="18"/>
                <w:szCs w:val="18"/>
              </w:rPr>
              <w:t>23、天然气储备量（万立方米）</w:t>
            </w:r>
          </w:p>
        </w:tc>
        <w:tc>
          <w:tcPr>
            <w:tcW w:w="942" w:type="dxa"/>
            <w:tcBorders>
              <w:top w:val="single" w:sz="4" w:space="0" w:color="auto"/>
              <w:left w:val="single" w:sz="4" w:space="0" w:color="auto"/>
              <w:bottom w:val="single" w:sz="4" w:space="0" w:color="auto"/>
              <w:right w:val="single" w:sz="4" w:space="0" w:color="auto"/>
            </w:tcBorders>
            <w:vAlign w:val="center"/>
          </w:tcPr>
          <w:p>
            <w:pPr>
              <w:widowControl/>
              <w:spacing w:line="300" w:lineRule="exact"/>
              <w:ind w:firstLineChars="0" w:firstLine="0"/>
              <w:jc w:val="center"/>
              <w:textAlignment w:val="center"/>
              <w:rPr>
                <w:bCs/>
                <w:kern w:val="0"/>
                <w:sz w:val="18"/>
                <w:szCs w:val="18"/>
              </w:rPr>
            </w:pPr>
            <w:r>
              <w:rPr>
                <w:kern w:val="0"/>
                <w:sz w:val="18"/>
                <w:szCs w:val="18"/>
              </w:rPr>
              <w:t>0.0</w:t>
            </w:r>
          </w:p>
        </w:tc>
        <w:tc>
          <w:tcPr>
            <w:tcW w:w="947" w:type="dxa"/>
            <w:tcBorders>
              <w:top w:val="single" w:sz="4" w:space="0" w:color="auto"/>
              <w:left w:val="single" w:sz="4" w:space="0" w:color="auto"/>
              <w:bottom w:val="single" w:sz="4" w:space="0" w:color="auto"/>
              <w:right w:val="single" w:sz="4" w:space="0" w:color="auto"/>
            </w:tcBorders>
            <w:vAlign w:val="center"/>
          </w:tcPr>
          <w:p>
            <w:pPr>
              <w:widowControl/>
              <w:spacing w:line="300" w:lineRule="exact"/>
              <w:ind w:firstLineChars="0" w:firstLine="0"/>
              <w:jc w:val="center"/>
              <w:textAlignment w:val="center"/>
              <w:rPr>
                <w:bCs/>
                <w:kern w:val="0"/>
                <w:sz w:val="18"/>
                <w:szCs w:val="18"/>
              </w:rPr>
            </w:pPr>
            <w:r>
              <w:rPr>
                <w:kern w:val="0"/>
                <w:sz w:val="18"/>
                <w:szCs w:val="18"/>
              </w:rPr>
              <w:t>0.0</w:t>
            </w:r>
          </w:p>
        </w:tc>
        <w:tc>
          <w:tcPr>
            <w:tcW w:w="943"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jc w:val="center"/>
              <w:rPr>
                <w:bCs/>
                <w:kern w:val="0"/>
                <w:sz w:val="18"/>
                <w:szCs w:val="18"/>
              </w:rPr>
            </w:pPr>
            <w:r>
              <w:rPr>
                <w:sz w:val="18"/>
                <w:szCs w:val="18"/>
              </w:rPr>
              <w:t>—</w:t>
            </w:r>
          </w:p>
        </w:tc>
        <w:tc>
          <w:tcPr>
            <w:tcW w:w="943" w:type="dxa"/>
            <w:vAlign w:val="center"/>
          </w:tcPr>
          <w:p>
            <w:pPr>
              <w:spacing w:line="300" w:lineRule="exact"/>
              <w:ind w:firstLineChars="0" w:firstLine="0"/>
              <w:jc w:val="center"/>
              <w:rPr>
                <w:sz w:val="18"/>
                <w:szCs w:val="18"/>
              </w:rPr>
            </w:pPr>
            <w:r>
              <w:rPr>
                <w:kern w:val="0"/>
                <w:sz w:val="18"/>
                <w:szCs w:val="18"/>
              </w:rPr>
              <w:t>约束</w:t>
            </w:r>
          </w:p>
        </w:tc>
      </w:tr>
      <w:tr>
        <w:trPr>
          <w:trHeight w:val="397"/>
        </w:trPr>
        <w:tc>
          <w:tcPr>
            <w:tcW w:w="988" w:type="dxa"/>
            <w:vMerge/>
            <w:vAlign w:val="center"/>
          </w:tcPr>
          <w:p/>
        </w:tc>
        <w:tc>
          <w:tcPr>
            <w:tcW w:w="3543"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rPr>
                <w:bCs/>
                <w:kern w:val="0"/>
                <w:sz w:val="18"/>
                <w:szCs w:val="18"/>
              </w:rPr>
            </w:pPr>
            <w:r>
              <w:rPr>
                <w:sz w:val="18"/>
                <w:szCs w:val="18"/>
              </w:rPr>
              <w:t>24、边境地区人口增长率（%）</w:t>
            </w:r>
          </w:p>
        </w:tc>
        <w:tc>
          <w:tcPr>
            <w:tcW w:w="942" w:type="dxa"/>
            <w:tcBorders>
              <w:top w:val="single" w:sz="4" w:space="0" w:color="auto"/>
              <w:left w:val="single" w:sz="4" w:space="0" w:color="auto"/>
              <w:bottom w:val="single" w:sz="4" w:space="0" w:color="auto"/>
              <w:right w:val="single" w:sz="4" w:space="0" w:color="auto"/>
            </w:tcBorders>
            <w:vAlign w:val="center"/>
          </w:tcPr>
          <w:p>
            <w:pPr>
              <w:widowControl/>
              <w:spacing w:line="300" w:lineRule="exact"/>
              <w:ind w:firstLineChars="0" w:firstLine="0"/>
              <w:jc w:val="center"/>
              <w:textAlignment w:val="center"/>
              <w:rPr>
                <w:bCs/>
                <w:kern w:val="0"/>
                <w:sz w:val="18"/>
                <w:szCs w:val="18"/>
              </w:rPr>
            </w:pPr>
            <w:r>
              <w:rPr>
                <w:kern w:val="0"/>
                <w:sz w:val="18"/>
                <w:szCs w:val="18"/>
              </w:rPr>
              <w:t>—</w:t>
            </w:r>
          </w:p>
        </w:tc>
        <w:tc>
          <w:tcPr>
            <w:tcW w:w="947" w:type="dxa"/>
            <w:tcBorders>
              <w:top w:val="single" w:sz="4" w:space="0" w:color="auto"/>
              <w:left w:val="single" w:sz="4" w:space="0" w:color="auto"/>
              <w:bottom w:val="single" w:sz="4" w:space="0" w:color="auto"/>
              <w:right w:val="single" w:sz="4" w:space="0" w:color="auto"/>
            </w:tcBorders>
            <w:vAlign w:val="center"/>
          </w:tcPr>
          <w:p>
            <w:pPr>
              <w:widowControl/>
              <w:spacing w:line="300" w:lineRule="exact"/>
              <w:ind w:firstLineChars="0" w:firstLine="0"/>
              <w:jc w:val="center"/>
              <w:textAlignment w:val="center"/>
              <w:rPr>
                <w:bCs/>
                <w:kern w:val="0"/>
                <w:sz w:val="18"/>
                <w:szCs w:val="18"/>
              </w:rPr>
            </w:pPr>
            <w:r>
              <w:rPr>
                <w:kern w:val="0"/>
                <w:sz w:val="18"/>
                <w:szCs w:val="18"/>
              </w:rPr>
              <w:t>[1.91%]</w:t>
            </w:r>
          </w:p>
        </w:tc>
        <w:tc>
          <w:tcPr>
            <w:tcW w:w="943"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line="240" w:lineRule="auto"/>
              <w:ind w:firstLineChars="0" w:firstLine="0"/>
              <w:jc w:val="center"/>
              <w:rPr>
                <w:bCs/>
                <w:kern w:val="0"/>
                <w:sz w:val="18"/>
                <w:szCs w:val="18"/>
              </w:rPr>
            </w:pPr>
            <w:r>
              <w:rPr>
                <w:sz w:val="18"/>
                <w:szCs w:val="18"/>
              </w:rPr>
              <w:t>—</w:t>
            </w:r>
          </w:p>
        </w:tc>
        <w:tc>
          <w:tcPr>
            <w:tcW w:w="943" w:type="dxa"/>
            <w:vAlign w:val="center"/>
          </w:tcPr>
          <w:p>
            <w:pPr>
              <w:spacing w:line="300" w:lineRule="exact"/>
              <w:ind w:firstLineChars="0" w:firstLine="0"/>
              <w:jc w:val="center"/>
              <w:rPr>
                <w:sz w:val="18"/>
                <w:szCs w:val="18"/>
              </w:rPr>
            </w:pPr>
            <w:r>
              <w:rPr>
                <w:kern w:val="0"/>
                <w:sz w:val="18"/>
                <w:szCs w:val="18"/>
              </w:rPr>
              <w:t>约束</w:t>
            </w:r>
          </w:p>
        </w:tc>
      </w:tr>
    </w:tbl>
    <w:p>
      <w:pPr>
        <w:adjustRightInd w:val="0"/>
        <w:snapToGrid w:val="0"/>
        <w:ind w:firstLineChars="0" w:firstLine="0"/>
        <w:rPr>
          <w:szCs w:val="30"/>
        </w:rPr>
        <w:sectPr>
          <w:footerReference w:type="default" r:id="rId9"/>
          <w:pgSz w:w="11906" w:h="16838"/>
          <w:pgMar w:top="1440" w:right="1797" w:bottom="1440" w:left="1797" w:header="851" w:footer="680" w:gutter="0"/>
          <w:cols w:num="1" w:space="425"/>
          <w:docGrid w:type="lines" w:linePitch="435" w:charSpace="0"/>
        </w:sectPr>
      </w:pPr>
    </w:p>
    <w:p>
      <w:pPr>
        <w:pStyle w:val="2"/>
        <w:spacing w:after="190" w:line="576" w:lineRule="exact"/>
      </w:pPr>
      <w:bookmarkStart w:id="140" w:name="_Toc218406221"/>
      <w:bookmarkStart w:id="141" w:name="_Toc223858404"/>
      <w:bookmarkEnd w:id="6"/>
      <w:r>
        <w:t>第二节 发展环境</w:t>
      </w:r>
      <w:bookmarkEnd w:id="140"/>
      <w:bookmarkEnd w:id="141"/>
    </w:p>
    <w:p>
      <w:pPr>
        <w:adjustRightInd w:val="0"/>
        <w:snapToGrid w:val="0"/>
        <w:rPr>
          <w:szCs w:val="32"/>
        </w:rPr>
      </w:pPr>
      <w:bookmarkStart w:id="142" w:name="_Hlk219403469"/>
      <w:r>
        <w:rPr>
          <w:rFonts w:hint="eastAsia"/>
          <w:szCs w:val="32"/>
        </w:rPr>
        <w:t>“十五五”时期是波密县与全国全区全市一道为基本实现社会主义现代化夯基蓄势、全面发力的关键阶段。经过“十四五”时期的持续攻坚，波密县产业基础逐步夯实、生态环境持续向好、基础设施不断完善，发展后劲持续积蓄。这一时期也是以中国式现代化全面推进强国建设、民族复兴伟业的重要阶段，波密县作为自治区和林芝市战略定位的重要承载区域，依托交通区位优势与丰富旅游资源，发展机遇和挑战出现了新变化。</w:t>
      </w:r>
    </w:p>
    <w:p>
      <w:pPr>
        <w:adjustRightInd w:val="0"/>
        <w:snapToGrid w:val="0"/>
        <w:rPr>
          <w:szCs w:val="32"/>
        </w:rPr>
      </w:pPr>
      <w:r>
        <w:rPr>
          <w:rFonts w:eastAsia="楷体_GB2312"/>
          <w:b/>
          <w:bCs/>
          <w:szCs w:val="32"/>
        </w:rPr>
        <w:t>面临机遇前所未有，发展优势前所未有。</w:t>
      </w:r>
      <w:r>
        <w:rPr>
          <w:b/>
          <w:bCs/>
          <w:szCs w:val="32"/>
        </w:rPr>
        <w:t>党中央对西藏的支持为波密发展奠定了坚实基础。</w:t>
      </w:r>
      <w:r>
        <w:rPr>
          <w:szCs w:val="32"/>
        </w:rPr>
        <w:t>在党中央国务院的深切关怀和坚强领导下，波密县社会主义现代化建设步伐得以坚实推进，根基日益稳固。</w:t>
      </w:r>
      <w:r>
        <w:rPr>
          <w:rFonts w:hint="eastAsia"/>
          <w:szCs w:val="32"/>
        </w:rPr>
        <w:t>以习近平同志为核心的党中央高度重视西藏工作，习近平总书记两次亲自部署召开西藏工作座谈会、亲临西藏视察指导工作、先后三次到林芝考察指导，亲自为新时代西藏工作谋篇布局，为西藏明确了“稳定、发展、生态、强边”四件大事的政治方向，极大提振了各族干部群众的发展信心，为波密发展提供了根本政治遵循和政策支撑。</w:t>
      </w:r>
      <w:r>
        <w:rPr>
          <w:rFonts w:hint="eastAsia"/>
          <w:b/>
          <w:bCs/>
          <w:szCs w:val="32"/>
        </w:rPr>
        <w:t>国家重大项目为波密融入新发展格局带来了新契机。</w:t>
      </w:r>
      <w:r>
        <w:rPr>
          <w:szCs w:val="32"/>
        </w:rPr>
        <w:t>川藏铁路</w:t>
      </w:r>
      <w:r>
        <w:rPr>
          <w:rFonts w:hint="eastAsia"/>
          <w:szCs w:val="32"/>
        </w:rPr>
        <w:t>、波密至然乌支线铁路、雅下水电工程</w:t>
      </w:r>
      <w:r>
        <w:rPr>
          <w:szCs w:val="32"/>
        </w:rPr>
        <w:t>等国家级基础设施建设项目，</w:t>
      </w:r>
      <w:r>
        <w:rPr>
          <w:rFonts w:hint="eastAsia"/>
          <w:szCs w:val="32"/>
        </w:rPr>
        <w:t>不仅为全区发展带来历史性、持续性、全方位机遇，更为林芝打造新的经济增长点、打造区域交通物流枢纽、促进产业转型升级等带来千载难逢的大好机遇，同时也</w:t>
      </w:r>
      <w:r>
        <w:rPr>
          <w:szCs w:val="32"/>
        </w:rPr>
        <w:t>将对波密县的区域发展产生深远而重大的影响。这些项目的落地实施，将</w:t>
      </w:r>
      <w:r>
        <w:rPr>
          <w:rFonts w:hint="eastAsia"/>
          <w:szCs w:val="32"/>
        </w:rPr>
        <w:t>快速集聚大规模资金、技术、产业工程等要素，催生大量生产性、生活性服务需求，将直接带动建筑业、金融业、技术服务业和制造业等产业快速发展，极大提升公路、铁路、航空、电力、通信、水利等基础设施支撑能力，推动波密县产业结构优化升级，为推动波密高质量发展、培育发展新质生产力注入强劲内生动能。</w:t>
      </w:r>
      <w:r>
        <w:rPr>
          <w:b/>
          <w:bCs/>
          <w:szCs w:val="32"/>
        </w:rPr>
        <w:t>林芝市改革开放先行区为波密注入新动能。</w:t>
      </w:r>
      <w:r>
        <w:rPr>
          <w:rFonts w:hint="eastAsia"/>
          <w:szCs w:val="32"/>
        </w:rPr>
        <w:t>自治区党委、政府赋予林芝市推动高质量发展、促进改革开放先行的重大使命。林芝市以“基础建设”为着力点，增强高质量发展支撑力；以“优化环境”为主抓手，增强高质量发展吸引力；以“深化改革”为突破口，增强高质量发展内生动力，</w:t>
      </w:r>
      <w:r>
        <w:rPr>
          <w:szCs w:val="32"/>
        </w:rPr>
        <w:t>这一历史性机遇为波密县的发展开辟了新天地。</w:t>
      </w:r>
      <w:r>
        <w:rPr>
          <w:b/>
          <w:bCs/>
          <w:szCs w:val="32"/>
        </w:rPr>
        <w:t>稳边固边、富民兴边为波密带来资源集聚效应。</w:t>
      </w:r>
      <w:r>
        <w:rPr>
          <w:szCs w:val="32"/>
        </w:rPr>
        <w:t>波密县作为国家兴边富民行动的重要节点，深受国家政策的支持与资源的倾斜，为当地经济社会蓬勃发展注入了强劲动力。</w:t>
      </w:r>
      <w:r>
        <w:rPr>
          <w:rFonts w:hint="eastAsia"/>
          <w:b/>
          <w:bCs/>
          <w:szCs w:val="32"/>
        </w:rPr>
        <w:t>以人为本的新型城镇化</w:t>
      </w:r>
      <w:r>
        <w:rPr>
          <w:b/>
          <w:bCs/>
          <w:szCs w:val="32"/>
        </w:rPr>
        <w:t>为波密带来高品质发展机遇。</w:t>
      </w:r>
      <w:r>
        <w:rPr>
          <w:rFonts w:hint="eastAsia"/>
          <w:szCs w:val="32"/>
        </w:rPr>
        <w:t>中央城市工作会议提出，“分类推进以县城为重要载体的城镇化建设，继续推进农业转移人口市民化，促进大中小城市和小城镇协调发展”。在重新确立“县域经济”为城镇化重要载体的背景下，</w:t>
      </w:r>
      <w:r>
        <w:rPr>
          <w:szCs w:val="32"/>
        </w:rPr>
        <w:t>波密县以“六区”建设为引领，</w:t>
      </w:r>
      <w:r>
        <w:rPr>
          <w:rFonts w:hint="eastAsia"/>
          <w:szCs w:val="32"/>
        </w:rPr>
        <w:t>大力实施城市更新等举措，</w:t>
      </w:r>
      <w:r>
        <w:rPr>
          <w:szCs w:val="32"/>
        </w:rPr>
        <w:t>这一宏伟蓝图不仅为波密的城镇化之路提供了坚实的政策基石，更为经济社会的全面发展注入了澎湃动力。</w:t>
      </w:r>
    </w:p>
    <w:p>
      <w:pPr>
        <w:adjustRightInd w:val="0"/>
        <w:snapToGrid w:val="0"/>
        <w:rPr>
          <w:szCs w:val="32"/>
        </w:rPr>
      </w:pPr>
      <w:r>
        <w:rPr>
          <w:rFonts w:eastAsia="楷体_GB2312"/>
          <w:b/>
          <w:bCs/>
          <w:szCs w:val="32"/>
        </w:rPr>
        <w:t>面临</w:t>
      </w:r>
      <w:r>
        <w:rPr>
          <w:rFonts w:eastAsia="楷体_GB2312" w:hint="eastAsia"/>
          <w:b/>
          <w:bCs/>
          <w:szCs w:val="32"/>
        </w:rPr>
        <w:t>形势</w:t>
      </w:r>
      <w:r>
        <w:rPr>
          <w:rFonts w:eastAsia="楷体_GB2312"/>
          <w:b/>
          <w:bCs/>
          <w:szCs w:val="32"/>
        </w:rPr>
        <w:t>更加复杂、任务更加繁重。</w:t>
      </w:r>
      <w:r>
        <w:rPr>
          <w:b/>
          <w:bCs/>
          <w:szCs w:val="32"/>
        </w:rPr>
        <w:t>产业发展面临压力。</w:t>
      </w:r>
      <w:r>
        <w:rPr>
          <w:szCs w:val="32"/>
        </w:rPr>
        <w:t>波密县产业发展仍</w:t>
      </w:r>
      <w:r>
        <w:rPr>
          <w:rFonts w:hint="eastAsia"/>
          <w:szCs w:val="32"/>
        </w:rPr>
        <w:t>处于</w:t>
      </w:r>
      <w:r>
        <w:rPr>
          <w:szCs w:val="32"/>
        </w:rPr>
        <w:t>初级阶段，</w:t>
      </w:r>
      <w:r>
        <w:rPr>
          <w:rFonts w:hint="eastAsia"/>
          <w:szCs w:val="32"/>
        </w:rPr>
        <w:t>基础设施建设相对滞后，受地理、气候、区位等自然条件制约，面临成本高企、产量低下、市场狭小等问题，与规模化、集群化、数字化要求存在较大差距。具体而言，</w:t>
      </w:r>
      <w:r>
        <w:rPr>
          <w:szCs w:val="32"/>
        </w:rPr>
        <w:t>特色农牧</w:t>
      </w:r>
      <w:r>
        <w:rPr>
          <w:rFonts w:hint="eastAsia"/>
          <w:szCs w:val="32"/>
        </w:rPr>
        <w:t>产业经济效益低</w:t>
      </w:r>
      <w:r>
        <w:rPr>
          <w:szCs w:val="32"/>
        </w:rPr>
        <w:t>，</w:t>
      </w:r>
      <w:r>
        <w:rPr>
          <w:rFonts w:hint="eastAsia"/>
          <w:szCs w:val="32"/>
        </w:rPr>
        <w:t>产业链条短缺，龙头企业带动能力薄弱，产品运输成本高、销售渠道不畅，现代化水平亟待提升；工业以资源初级加工为主，处于工业化初级阶段，规上工业企业数量少、产值低，清洁能源产业发展滞后；服务业结构不优，传统服务业占比过高，现代服务业占比偏低，生态旅游景点开发层次不高，开放度不足、体验感不强，国际化程度较低，从“门票经济”向“产业经济”转型面临新任务。</w:t>
      </w:r>
      <w:r>
        <w:rPr>
          <w:b/>
          <w:bCs/>
          <w:szCs w:val="32"/>
        </w:rPr>
        <w:t>重大项目服务能力有限。</w:t>
      </w:r>
      <w:r>
        <w:rPr>
          <w:szCs w:val="32"/>
        </w:rPr>
        <w:t>国家级重大项目建设开发周期过长，</w:t>
      </w:r>
      <w:r>
        <w:rPr>
          <w:rFonts w:hint="eastAsia"/>
          <w:szCs w:val="32"/>
        </w:rPr>
        <w:t>服务能力释放滞后于社会发展需求</w:t>
      </w:r>
      <w:r>
        <w:rPr>
          <w:szCs w:val="32"/>
        </w:rPr>
        <w:t>，随着川藏铁路</w:t>
      </w:r>
      <w:r>
        <w:rPr>
          <w:rFonts w:hint="eastAsia"/>
          <w:szCs w:val="32"/>
        </w:rPr>
        <w:t>、波密至然乌支线铁路</w:t>
      </w:r>
      <w:r>
        <w:rPr>
          <w:szCs w:val="32"/>
        </w:rPr>
        <w:t>等国家级重点项目落地建设以及</w:t>
      </w:r>
      <w:r>
        <w:rPr>
          <w:rFonts w:hint="eastAsia"/>
          <w:szCs w:val="32"/>
        </w:rPr>
        <w:t>规划</w:t>
      </w:r>
      <w:r>
        <w:rPr>
          <w:szCs w:val="32"/>
        </w:rPr>
        <w:t>项目持续推进，用地指标紧缺问题日益凸显。</w:t>
      </w:r>
      <w:r>
        <w:rPr>
          <w:rFonts w:hint="eastAsia"/>
          <w:szCs w:val="32"/>
        </w:rPr>
        <w:t>波</w:t>
      </w:r>
      <w:r>
        <w:rPr>
          <w:szCs w:val="32"/>
        </w:rPr>
        <w:t>密县水电、道路、通信技术等基础设施</w:t>
      </w:r>
      <w:r>
        <w:rPr>
          <w:rFonts w:hint="eastAsia"/>
          <w:szCs w:val="32"/>
        </w:rPr>
        <w:t>仍存在较多短板</w:t>
      </w:r>
      <w:r>
        <w:rPr>
          <w:szCs w:val="32"/>
        </w:rPr>
        <w:t>，</w:t>
      </w:r>
      <w:r>
        <w:rPr>
          <w:rFonts w:hint="eastAsia"/>
          <w:szCs w:val="32"/>
        </w:rPr>
        <w:t>基本公共服务水平与全国平均水平相比仍有差距，严重制约区域内外物资流通和人员往来，增加运输成本，难以有效服务重大工程建设。如何充分发挥重大项目牵引和政府投资撬动作用，拉动更多社会投资，将是“十五五”时期实现高质量发展的关键</w:t>
      </w:r>
      <w:r>
        <w:rPr>
          <w:szCs w:val="32"/>
        </w:rPr>
        <w:t>。</w:t>
      </w:r>
      <w:r>
        <w:rPr>
          <w:b/>
          <w:bCs/>
          <w:szCs w:val="32"/>
        </w:rPr>
        <w:t>城乡发展较不平衡。</w:t>
      </w:r>
      <w:r>
        <w:rPr>
          <w:szCs w:val="32"/>
        </w:rPr>
        <w:t>波密县城镇化进程滞后于全国平均水平，</w:t>
      </w:r>
      <w:r>
        <w:rPr>
          <w:rFonts w:hint="eastAsia"/>
          <w:szCs w:val="32"/>
        </w:rPr>
        <w:t>城乡居民收入、基础设施、公共服务、产业发展不平衡，城乡要素双向流动通道不畅，公共服务向农牧区延伸成本高、难度大，城乡基础设施一体化、基本公共服务均等化有待进一步加强。</w:t>
      </w:r>
      <w:r>
        <w:rPr>
          <w:szCs w:val="32"/>
        </w:rPr>
        <w:t>部分群众固守农牧生产生活方式，城镇化意识薄弱，城镇化率提升困难。</w:t>
      </w:r>
      <w:r>
        <w:rPr>
          <w:rFonts w:hint="eastAsia"/>
          <w:b/>
          <w:bCs/>
          <w:szCs w:val="32"/>
        </w:rPr>
        <w:t>统筹发展与保护难度增加。</w:t>
      </w:r>
      <w:r>
        <w:rPr>
          <w:rFonts w:hint="eastAsia"/>
          <w:szCs w:val="32"/>
        </w:rPr>
        <w:t>波密县为藏东南高原边缘生态屏障区，自然生态系统自我维持和恢复能力较弱，草地退化、沙化、水土流失等问题依然突出，生态环境保护与修复任务较重，全球气候变暖带来冰川退缩、冻土消融等新挑战，生态产品价值实现机制和路径尚处于探索阶段。“十五五”期间波密将迎来基础设施建设、产业发展等重大机遇，在更高水平上协调生态环境保护与资源开发面临巨大挑战。</w:t>
      </w:r>
      <w:r>
        <w:rPr>
          <w:b/>
          <w:bCs/>
          <w:szCs w:val="32"/>
        </w:rPr>
        <w:t>安全形势依然严峻。</w:t>
      </w:r>
      <w:r>
        <w:rPr>
          <w:szCs w:val="32"/>
        </w:rPr>
        <w:t>波密县是连接墨脱的重要通道，其独特的地理位置极具战略意义，是国家安全体系中的关键一环。波密县居民数量相对较少，居住分散，治安配套设备数量与质量均不足，基层治理难度较大，难以形成有效的治安防控体系。</w:t>
      </w:r>
      <w:bookmarkEnd w:id="142"/>
    </w:p>
    <w:p>
      <w:pPr>
        <w:adjustRightInd w:val="0"/>
        <w:snapToGrid w:val="0"/>
        <w:rPr>
          <w:szCs w:val="32"/>
        </w:rPr>
      </w:pPr>
      <w:r>
        <w:rPr>
          <w:rFonts w:hint="eastAsia"/>
          <w:szCs w:val="32"/>
        </w:rPr>
        <w:t>面对新的机遇和挑战，波密县将深入贯彻习近平总书记关于西藏工作的重要论述和新时代党的治藏方略，深刻把握“两个确立”的决定性意义，增强机遇意识与风险意识，准确识变、科学应变、主动求变，在抢抓发展机遇的同时坚决守住风险底线，推动经济社会高质量发展行稳致远。</w:t>
      </w:r>
      <w:r>
        <w:rPr>
          <w:szCs w:val="32"/>
        </w:rPr>
        <w:br w:type="page"/>
      </w:r>
    </w:p>
    <w:p>
      <w:pPr>
        <w:pStyle w:val="1"/>
        <w:spacing w:after="190" w:line="576" w:lineRule="exact"/>
        <w:ind w:firstLineChars="62" w:firstLine="174"/>
      </w:pPr>
      <w:bookmarkStart w:id="143" w:name="_Toc218406222"/>
      <w:bookmarkStart w:id="144" w:name="_Toc223858405"/>
      <w:r>
        <w:t>第二章 总体思路</w:t>
      </w:r>
      <w:bookmarkEnd w:id="143"/>
      <w:bookmarkEnd w:id="144"/>
    </w:p>
    <w:p>
      <w:pPr>
        <w:pStyle w:val="2"/>
        <w:spacing w:after="190" w:line="576" w:lineRule="exact"/>
      </w:pPr>
      <w:bookmarkStart w:id="145" w:name="_Toc218406223"/>
      <w:bookmarkStart w:id="146" w:name="_Toc223858406"/>
      <w:r>
        <w:t>第一节 指导思想</w:t>
      </w:r>
      <w:bookmarkEnd w:id="145"/>
      <w:bookmarkEnd w:id="146"/>
    </w:p>
    <w:p>
      <w:pPr>
        <w:adjustRightInd w:val="0"/>
        <w:snapToGrid w:val="0"/>
        <w:rPr>
          <w:szCs w:val="30"/>
        </w:rPr>
      </w:pPr>
      <w:bookmarkStart w:id="147" w:name="OLE_LINK50"/>
      <w:r>
        <w:rPr>
          <w:rFonts w:hint="eastAsia"/>
          <w:szCs w:val="32"/>
        </w:rPr>
        <w:t>坚持以习近平新时代中国特色社会主义思想为指导，全面贯彻党的二十大和二十届历次全会精神，全面贯彻习近平总书记关于西藏工作的重要指示和新时代党的治藏方略，贯彻落实自治区第十次党代会和十届自治区党委历次全会精神，统筹推进“五位一体”总体布局，协调推进“四个全面”战略布局，完整准确全面贯彻新发展理念，坚持稳中求进工作总基调，牢牢把握“</w:t>
      </w:r>
      <w:bookmarkStart w:id="148" w:name="OLE_LINK1"/>
      <w:r>
        <w:rPr>
          <w:rFonts w:hint="eastAsia"/>
          <w:szCs w:val="32"/>
        </w:rPr>
        <w:t>四件大事</w:t>
      </w:r>
      <w:bookmarkEnd w:id="148"/>
      <w:r>
        <w:rPr>
          <w:rFonts w:hint="eastAsia"/>
          <w:szCs w:val="32"/>
        </w:rPr>
        <w:t>”，聚焦“四个创建”战略部署，以铸牢中华民族共同体意识为主线，完整、准确、全面贯彻新发展理念，主动服务和融入新发展格局，以高质量发展为主题，以改革创新为根本动力，以增进各族群众福祉为根本目的，深化粤藏协作，着力构建“全域旅游、特色农牧、绿色工业”现代产业体系，统筹生态保护与资源转化、城乡融合与区域协同、安全稳定与开放发展，奋力将波密建设成为全国重点生态文化旅游区核心承载地、高原现代农牧业创新发展试验区、藏东南综合交通物流枢纽、“两山”理论创新实践高地、固边强边战略保障地，为西藏长治久安和高质量发展筑牢波密根基，确保与全国、全区、全市一道在基本实现社会主义现代化道路上取得决定性进展。</w:t>
      </w:r>
    </w:p>
    <w:p>
      <w:pPr>
        <w:pStyle w:val="2"/>
        <w:spacing w:after="190" w:line="576" w:lineRule="exact"/>
      </w:pPr>
      <w:bookmarkStart w:id="149" w:name="_Toc218406224"/>
      <w:bookmarkStart w:id="150" w:name="_Toc223858407"/>
      <w:bookmarkEnd w:id="147"/>
      <w:r>
        <w:t>第二节 基本原则</w:t>
      </w:r>
      <w:bookmarkEnd w:id="149"/>
      <w:bookmarkEnd w:id="150"/>
    </w:p>
    <w:p>
      <w:pPr>
        <w:rPr>
          <w:szCs w:val="32"/>
        </w:rPr>
      </w:pPr>
      <w:r>
        <w:rPr>
          <w:b/>
          <w:bCs/>
          <w:szCs w:val="32"/>
        </w:rPr>
        <w:t>——坚持党的全面领导。</w:t>
      </w:r>
      <w:r>
        <w:rPr>
          <w:szCs w:val="32"/>
        </w:rPr>
        <w:t>坚决维护党中央权威和集中统一领导，坚定践行中国特色社会主义制度与民族区域自治制度，持续健全完善党领导经济社会发展的体制机制。将新发展理念完整、准确、全面贯穿发展全过程，不断提升融入新发展格局的能力和水平，以党的领导为波密县高质量发展筑牢根本政治保障。</w:t>
      </w:r>
    </w:p>
    <w:p>
      <w:pPr>
        <w:rPr>
          <w:szCs w:val="32"/>
        </w:rPr>
      </w:pPr>
      <w:r>
        <w:rPr>
          <w:b/>
          <w:bCs/>
          <w:szCs w:val="32"/>
        </w:rPr>
        <w:t>——坚持人民至上。</w:t>
      </w:r>
      <w:r>
        <w:rPr>
          <w:szCs w:val="32"/>
        </w:rPr>
        <w:t>全面落实党的民族宗教工作方针政策，紧扣“三个赋予一个有利于”总要求，深化各民族交往交流交融，持续构筑中华民族共有精神文化家园，扎实推进中华民族共同体建设。始终坚守发展为了人民、发展依靠人民、发展成果由人民共享的宗旨，不断满足各族群众对美好生活的向往。</w:t>
      </w:r>
    </w:p>
    <w:p>
      <w:pPr>
        <w:rPr>
          <w:szCs w:val="32"/>
        </w:rPr>
      </w:pPr>
      <w:r>
        <w:rPr>
          <w:b/>
          <w:bCs/>
          <w:szCs w:val="32"/>
        </w:rPr>
        <w:t>——</w:t>
      </w:r>
      <w:r>
        <w:rPr>
          <w:rFonts w:hint="eastAsia"/>
          <w:b/>
          <w:bCs/>
          <w:szCs w:val="32"/>
        </w:rPr>
        <w:t>坚持聚焦“四件大事”。</w:t>
      </w:r>
      <w:r>
        <w:rPr>
          <w:rFonts w:hint="eastAsia"/>
          <w:szCs w:val="32"/>
        </w:rPr>
        <w:t>准确把握波密县在落实“四件大事”中的定位，深入落实林芝“</w:t>
      </w:r>
      <w:r>
        <w:rPr>
          <w:szCs w:val="32"/>
        </w:rPr>
        <w:t>11364</w:t>
      </w:r>
      <w:r>
        <w:rPr>
          <w:rFonts w:hint="eastAsia"/>
          <w:szCs w:val="32"/>
        </w:rPr>
        <w:t>”发展思路，进一步发挥波密在融入新发展格局中的比较优势，突出波密在全区和林芝市发展大局中的战略地位。</w:t>
      </w:r>
    </w:p>
    <w:p>
      <w:pPr>
        <w:rPr>
          <w:szCs w:val="32"/>
        </w:rPr>
      </w:pPr>
      <w:r>
        <w:rPr>
          <w:b/>
          <w:bCs/>
          <w:szCs w:val="32"/>
        </w:rPr>
        <w:t>——坚持高质量发展。</w:t>
      </w:r>
      <w:r>
        <w:rPr>
          <w:szCs w:val="32"/>
        </w:rPr>
        <w:t>把新发展理念贯穿发展各环节，切实转变发展方式，着力推动质量变革、效率变革、动力变革。立足波密生态与产业禀赋，走出一条经济发展与资源环境相协调、契合现代化建设要求的文明发展道路，实现更高质量、更有效率、更加公平、更可持续、更为安全的发展。</w:t>
      </w:r>
    </w:p>
    <w:p>
      <w:pPr>
        <w:rPr>
          <w:szCs w:val="32"/>
        </w:rPr>
      </w:pPr>
      <w:r>
        <w:rPr>
          <w:b/>
          <w:bCs/>
          <w:szCs w:val="32"/>
        </w:rPr>
        <w:t>——坚持全面深化改革。</w:t>
      </w:r>
      <w:r>
        <w:rPr>
          <w:szCs w:val="32"/>
        </w:rPr>
        <w:t>秉持守正创新理念，以制度建设为主线，统筹处理好经济与社会、政府与市场、效率与公平、活力与秩序、发展与安全的关系，进一步解放和发展社会生产力、激发社会发展活力。</w:t>
      </w:r>
      <w:r>
        <w:rPr>
          <w:rFonts w:hint="eastAsia"/>
          <w:szCs w:val="32"/>
        </w:rPr>
        <w:t>扩大制度型开放，</w:t>
      </w:r>
      <w:r>
        <w:rPr>
          <w:szCs w:val="32"/>
        </w:rPr>
        <w:t>主动融入藏东南开放新格局，持续提升波密县的战略地位。</w:t>
      </w:r>
    </w:p>
    <w:p>
      <w:pPr>
        <w:rPr>
          <w:szCs w:val="32"/>
        </w:rPr>
      </w:pPr>
      <w:r>
        <w:rPr>
          <w:b/>
          <w:bCs/>
          <w:szCs w:val="32"/>
        </w:rPr>
        <w:t>——</w:t>
      </w:r>
      <w:r>
        <w:rPr>
          <w:rFonts w:hint="eastAsia"/>
          <w:b/>
          <w:bCs/>
          <w:szCs w:val="32"/>
        </w:rPr>
        <w:t>坚持有效市场和有为政府相结合</w:t>
      </w:r>
      <w:r>
        <w:rPr>
          <w:b/>
          <w:bCs/>
          <w:szCs w:val="32"/>
        </w:rPr>
        <w:t>。</w:t>
      </w:r>
      <w:r>
        <w:rPr>
          <w:szCs w:val="32"/>
        </w:rPr>
        <w:t>厘清政府与市场边界，充分发挥市场在资源配置中的决定性作用，激活各类市场主体的内生动力。聚焦规划引导、政策支持、环境营造等职能，精准发力弥补市场短板，推动市场机制有效运转与政府调控科学有为形成合力，为波密县发展注入双重动能。</w:t>
      </w:r>
    </w:p>
    <w:p>
      <w:pPr>
        <w:rPr>
          <w:snapToGrid w:val="0"/>
          <w:szCs w:val="32"/>
          <w:shd w:val="clear" w:color="auto" w:fill="FFFFFF"/>
        </w:rPr>
      </w:pPr>
      <w:r>
        <w:rPr>
          <w:b/>
          <w:bCs/>
          <w:szCs w:val="32"/>
        </w:rPr>
        <w:t>——坚持统筹发展和安全。</w:t>
      </w:r>
      <w:r>
        <w:rPr>
          <w:rFonts w:hint="eastAsia"/>
          <w:szCs w:val="32"/>
        </w:rPr>
        <w:t>始终将稳定作为第一位的政治任务，把高质量发展作为硬道理，配合推进</w:t>
      </w:r>
      <w:r>
        <w:rPr>
          <w:szCs w:val="32"/>
        </w:rPr>
        <w:t>“</w:t>
      </w:r>
      <w:r>
        <w:rPr>
          <w:rFonts w:hint="eastAsia"/>
          <w:szCs w:val="32"/>
        </w:rPr>
        <w:t>向前推</w:t>
      </w:r>
      <w:r>
        <w:rPr>
          <w:szCs w:val="32"/>
        </w:rPr>
        <w:t>”</w:t>
      </w:r>
      <w:r>
        <w:rPr>
          <w:rFonts w:hint="eastAsia"/>
          <w:szCs w:val="32"/>
        </w:rPr>
        <w:t>战略实施和兴边富民行动。</w:t>
      </w:r>
      <w:r>
        <w:rPr>
          <w:szCs w:val="32"/>
        </w:rPr>
        <w:t>引导党员干部转变观念、提升能力，统筹治边稳藏与安全发展，扎实巩固边境安全、生态安全、能源安全，确保波密县实现持续稳定、长期稳定、全面稳定。</w:t>
      </w:r>
    </w:p>
    <w:p>
      <w:pPr>
        <w:pStyle w:val="2"/>
        <w:spacing w:after="190" w:line="576" w:lineRule="exact"/>
      </w:pPr>
      <w:bookmarkStart w:id="151" w:name="_Toc218406225"/>
      <w:bookmarkStart w:id="152" w:name="_Toc223858408"/>
      <w:bookmarkStart w:id="153" w:name="_Hlk202179792"/>
      <w:r>
        <w:t>第三节 发展定位</w:t>
      </w:r>
      <w:bookmarkEnd w:id="151"/>
      <w:bookmarkEnd w:id="152"/>
    </w:p>
    <w:p>
      <w:pPr>
        <w:rPr>
          <w:szCs w:val="32"/>
        </w:rPr>
      </w:pPr>
      <w:bookmarkStart w:id="154" w:name="_Hlk214916314"/>
      <w:r>
        <w:rPr>
          <w:szCs w:val="32"/>
        </w:rPr>
        <w:t>波密是西藏战略定位的重要承载区域，是林芝市建设改革开放先行区的重要组成部分，具有</w:t>
      </w:r>
      <w:r>
        <w:rPr>
          <w:rFonts w:hint="eastAsia"/>
          <w:szCs w:val="32"/>
        </w:rPr>
        <w:t>公路</w:t>
      </w:r>
      <w:r>
        <w:rPr>
          <w:szCs w:val="32"/>
        </w:rPr>
        <w:t>铁路交汇的重要优势以及雪山冰川等丰富</w:t>
      </w:r>
      <w:r>
        <w:rPr>
          <w:rFonts w:hint="eastAsia"/>
          <w:szCs w:val="32"/>
        </w:rPr>
        <w:t>旅游</w:t>
      </w:r>
      <w:r>
        <w:rPr>
          <w:szCs w:val="32"/>
        </w:rPr>
        <w:t>资源</w:t>
      </w:r>
      <w:r>
        <w:rPr>
          <w:rFonts w:hint="eastAsia"/>
          <w:szCs w:val="32"/>
        </w:rPr>
        <w:t>。</w:t>
      </w:r>
      <w:bookmarkEnd w:id="154"/>
      <w:r>
        <w:rPr>
          <w:rFonts w:hint="eastAsia"/>
          <w:szCs w:val="32"/>
        </w:rPr>
        <w:t>“十五五”时期，波密县发展定位为</w:t>
      </w:r>
      <w:r>
        <w:rPr>
          <w:rFonts w:hint="eastAsia"/>
          <w:b/>
          <w:bCs/>
          <w:szCs w:val="32"/>
        </w:rPr>
        <w:t>“</w:t>
      </w:r>
      <w:bookmarkStart w:id="155" w:name="_Hlk217431804"/>
      <w:r>
        <w:rPr>
          <w:rFonts w:hint="eastAsia"/>
          <w:b/>
          <w:bCs/>
          <w:szCs w:val="32"/>
        </w:rPr>
        <w:t>一核</w:t>
      </w:r>
      <w:bookmarkEnd w:id="155"/>
      <w:r>
        <w:rPr>
          <w:rFonts w:hint="eastAsia"/>
          <w:b/>
          <w:bCs/>
          <w:szCs w:val="32"/>
        </w:rPr>
        <w:t>引领·三极支撑”</w:t>
      </w:r>
      <w:r>
        <w:rPr>
          <w:rFonts w:hint="eastAsia"/>
          <w:szCs w:val="32"/>
        </w:rPr>
        <w:t>。</w:t>
      </w:r>
    </w:p>
    <w:p>
      <w:pPr>
        <w:rPr>
          <w:szCs w:val="32"/>
        </w:rPr>
      </w:pPr>
      <w:r>
        <w:rPr>
          <w:rFonts w:hint="eastAsia"/>
          <w:b/>
          <w:bCs/>
          <w:szCs w:val="32"/>
        </w:rPr>
        <w:t>“一核引领”：</w:t>
      </w:r>
      <w:bookmarkStart w:id="156" w:name="_Hlk217228221"/>
      <w:r>
        <w:rPr>
          <w:rFonts w:hint="eastAsia"/>
          <w:szCs w:val="32"/>
        </w:rPr>
        <w:t>助力林芝市创建全国重点生态文化旅游区</w:t>
      </w:r>
      <w:bookmarkEnd w:id="156"/>
      <w:r>
        <w:rPr>
          <w:rFonts w:hint="eastAsia"/>
          <w:szCs w:val="32"/>
        </w:rPr>
        <w:t>，</w:t>
      </w:r>
      <w:bookmarkStart w:id="157" w:name="OLE_LINK223"/>
      <w:r>
        <w:rPr>
          <w:rFonts w:hint="eastAsia"/>
          <w:szCs w:val="32"/>
        </w:rPr>
        <w:t>围绕提升旅游竞争力、知名度和综合效益</w:t>
      </w:r>
      <w:bookmarkEnd w:id="157"/>
      <w:r>
        <w:rPr>
          <w:rFonts w:hint="eastAsia"/>
          <w:szCs w:val="32"/>
        </w:rPr>
        <w:t>集中政策和资源，加快构建产品多样、业态多元、全域联动、协调发展的旅游产业体系，使文旅产业成为驱动县域高质量发展的核心动力。</w:t>
      </w:r>
    </w:p>
    <w:p>
      <w:pPr>
        <w:rPr>
          <w:szCs w:val="32"/>
        </w:rPr>
      </w:pPr>
      <w:r>
        <w:rPr>
          <w:rFonts w:hint="eastAsia"/>
          <w:b/>
          <w:bCs/>
          <w:szCs w:val="32"/>
        </w:rPr>
        <w:t>“三极支撑”：一是生态示范极。</w:t>
      </w:r>
      <w:r>
        <w:rPr>
          <w:rFonts w:hint="eastAsia"/>
          <w:szCs w:val="32"/>
        </w:rPr>
        <w:t>坚持生态优先、绿色发展，推动生态保护与特色产业融合发展；积极探索低碳旅游模式，发展生态友好型农牧业，开发推广清洁能源；</w:t>
      </w:r>
      <w:bookmarkStart w:id="158" w:name="OLE_LINK226"/>
      <w:r>
        <w:rPr>
          <w:rFonts w:hint="eastAsia"/>
          <w:szCs w:val="32"/>
        </w:rPr>
        <w:t>推进山水林田湖草沙冰一体化保护和系统治理，</w:t>
      </w:r>
      <w:r>
        <w:rPr>
          <w:szCs w:val="32"/>
        </w:rPr>
        <w:t>探索生态价值转化路径，</w:t>
      </w:r>
      <w:r>
        <w:rPr>
          <w:rFonts w:hint="eastAsia"/>
          <w:szCs w:val="32"/>
        </w:rPr>
        <w:t>打造“两山”实践创新基地。</w:t>
      </w:r>
      <w:bookmarkEnd w:id="158"/>
      <w:r>
        <w:rPr>
          <w:rFonts w:hint="eastAsia"/>
          <w:b/>
          <w:bCs/>
          <w:szCs w:val="32"/>
        </w:rPr>
        <w:t>二是融合创新极。</w:t>
      </w:r>
      <w:r>
        <w:rPr>
          <w:rFonts w:hint="eastAsia"/>
          <w:szCs w:val="32"/>
        </w:rPr>
        <w:t>以旅游业为核心，深度推进</w:t>
      </w:r>
      <w:bookmarkStart w:id="159" w:name="_Hlk217228271"/>
      <w:r>
        <w:rPr>
          <w:rFonts w:hint="eastAsia"/>
          <w:szCs w:val="32"/>
        </w:rPr>
        <w:t>“旅游</w:t>
      </w:r>
      <w:r>
        <w:rPr>
          <w:szCs w:val="32"/>
        </w:rPr>
        <w:t>+</w:t>
      </w:r>
      <w:r>
        <w:rPr>
          <w:rFonts w:hint="eastAsia"/>
          <w:szCs w:val="32"/>
        </w:rPr>
        <w:t>”和“</w:t>
      </w:r>
      <w:r>
        <w:rPr>
          <w:szCs w:val="32"/>
        </w:rPr>
        <w:t>+</w:t>
      </w:r>
      <w:r>
        <w:rPr>
          <w:rFonts w:hint="eastAsia"/>
          <w:szCs w:val="32"/>
        </w:rPr>
        <w:t>旅游”融合创新</w:t>
      </w:r>
      <w:bookmarkEnd w:id="159"/>
      <w:r>
        <w:rPr>
          <w:rFonts w:hint="eastAsia"/>
          <w:szCs w:val="32"/>
        </w:rPr>
        <w:t>。</w:t>
      </w:r>
      <w:r>
        <w:rPr>
          <w:rFonts w:hint="eastAsia"/>
          <w:b/>
          <w:bCs/>
          <w:szCs w:val="32"/>
        </w:rPr>
        <w:t>旅游</w:t>
      </w:r>
      <w:r>
        <w:rPr>
          <w:b/>
          <w:bCs/>
          <w:szCs w:val="32"/>
        </w:rPr>
        <w:t>+</w:t>
      </w:r>
      <w:r>
        <w:rPr>
          <w:rFonts w:hint="eastAsia"/>
          <w:b/>
          <w:bCs/>
          <w:szCs w:val="32"/>
        </w:rPr>
        <w:t>特色农牧</w:t>
      </w:r>
      <w:r>
        <w:rPr>
          <w:rFonts w:hint="eastAsia"/>
          <w:szCs w:val="32"/>
        </w:rPr>
        <w:t>，发展观光农牧、体验农牧，提升农牧产品附加值；</w:t>
      </w:r>
      <w:r>
        <w:rPr>
          <w:rFonts w:hint="eastAsia"/>
          <w:b/>
          <w:bCs/>
          <w:szCs w:val="32"/>
        </w:rPr>
        <w:t>旅游</w:t>
      </w:r>
      <w:r>
        <w:rPr>
          <w:b/>
          <w:bCs/>
          <w:szCs w:val="32"/>
        </w:rPr>
        <w:t>+</w:t>
      </w:r>
      <w:r>
        <w:rPr>
          <w:rFonts w:hint="eastAsia"/>
          <w:b/>
          <w:bCs/>
          <w:szCs w:val="32"/>
        </w:rPr>
        <w:t>文化</w:t>
      </w:r>
      <w:r>
        <w:rPr>
          <w:rFonts w:hint="eastAsia"/>
          <w:szCs w:val="32"/>
        </w:rPr>
        <w:t>，活化利用红色文化资源，传承创新非遗文化，打造沉浸式文化体验产品；</w:t>
      </w:r>
      <w:r>
        <w:rPr>
          <w:rFonts w:hint="eastAsia"/>
          <w:b/>
          <w:bCs/>
          <w:szCs w:val="32"/>
        </w:rPr>
        <w:t>旅游</w:t>
      </w:r>
      <w:r>
        <w:rPr>
          <w:b/>
          <w:bCs/>
          <w:szCs w:val="32"/>
        </w:rPr>
        <w:t>+</w:t>
      </w:r>
      <w:r>
        <w:rPr>
          <w:rFonts w:hint="eastAsia"/>
          <w:b/>
          <w:bCs/>
          <w:szCs w:val="32"/>
        </w:rPr>
        <w:t>体育</w:t>
      </w:r>
      <w:r>
        <w:rPr>
          <w:rFonts w:hint="eastAsia"/>
          <w:szCs w:val="32"/>
        </w:rPr>
        <w:t>，依托独特自然条件，发展高原徒步、骑行探险等特色体育赛事和户外运动，促进文旅、农旅、体旅、商旅等产业深度融合，形成丰富多元、吸引力强的产品体系和产业链条，提升整体竞争力。</w:t>
      </w:r>
      <w:r>
        <w:rPr>
          <w:rFonts w:hint="eastAsia"/>
          <w:b/>
          <w:bCs/>
          <w:szCs w:val="32"/>
        </w:rPr>
        <w:t>三是枢纽驱动极。</w:t>
      </w:r>
      <w:bookmarkStart w:id="160" w:name="_Hlk217228282"/>
      <w:r>
        <w:rPr>
          <w:rFonts w:hint="eastAsia"/>
          <w:szCs w:val="32"/>
        </w:rPr>
        <w:t>依托</w:t>
      </w:r>
      <w:r>
        <w:rPr>
          <w:szCs w:val="32"/>
        </w:rPr>
        <w:t>G318</w:t>
      </w:r>
      <w:r>
        <w:rPr>
          <w:rFonts w:hint="eastAsia"/>
          <w:szCs w:val="32"/>
        </w:rPr>
        <w:t>和川藏铁路、</w:t>
      </w:r>
      <w:bookmarkEnd w:id="160"/>
      <w:r>
        <w:rPr>
          <w:rFonts w:hint="eastAsia"/>
          <w:szCs w:val="32"/>
        </w:rPr>
        <w:t>波密至然乌支线铁路建设形成的核心旅游通道，形成吸引客流、发展旅游经济的“旅游集散枢纽”；利用交通枢纽地位，发展服务于特色农牧产品、商贸物资流通的低碳高效物流体系，打造藏东南区域性交通物流节点，提升波密重大工程建设及强边固边物资保障能力，形成“区域物流枢纽”；建设具备高原特色冷链仓储，发挥枢纽辐射带动作用，成为藏东南经济圈协作的前推点和对接成渝经济圈等大市场的桥头堡，形成“综合保障枢纽”。</w:t>
      </w:r>
    </w:p>
    <w:p>
      <w:pPr>
        <w:pStyle w:val="2"/>
        <w:spacing w:after="190" w:line="576" w:lineRule="exact"/>
      </w:pPr>
      <w:bookmarkStart w:id="161" w:name="_Toc218406226"/>
      <w:bookmarkStart w:id="162" w:name="_Toc223858409"/>
      <w:bookmarkEnd w:id="153"/>
      <w:r>
        <w:t>第四节 发展目标</w:t>
      </w:r>
      <w:bookmarkEnd w:id="161"/>
      <w:bookmarkEnd w:id="162"/>
    </w:p>
    <w:p>
      <w:pPr>
        <w:adjustRightInd w:val="0"/>
        <w:snapToGrid w:val="0"/>
        <w:rPr>
          <w:szCs w:val="32"/>
        </w:rPr>
      </w:pPr>
      <w:r>
        <w:rPr>
          <w:rFonts w:hint="eastAsia"/>
          <w:szCs w:val="32"/>
        </w:rPr>
        <w:t>“十五五”时期，波密县紧扣“一核引领·三极支撑”发展定位，推动经济发展保持良好势头，为</w:t>
      </w:r>
      <w:r>
        <w:rPr>
          <w:szCs w:val="32"/>
        </w:rPr>
        <w:t>2035</w:t>
      </w:r>
      <w:r>
        <w:rPr>
          <w:rFonts w:hint="eastAsia"/>
          <w:szCs w:val="32"/>
        </w:rPr>
        <w:t>年与全国同步基本实现社会主义现代化奠定坚实基础。</w:t>
      </w:r>
    </w:p>
    <w:p>
      <w:pPr>
        <w:adjustRightInd w:val="0"/>
        <w:snapToGrid w:val="0"/>
        <w:rPr>
          <w:szCs w:val="32"/>
        </w:rPr>
      </w:pPr>
      <w:r>
        <w:rPr>
          <w:b/>
          <w:bCs/>
          <w:szCs w:val="21"/>
        </w:rPr>
        <w:t>——</w:t>
      </w:r>
      <w:r>
        <w:rPr>
          <w:rFonts w:eastAsia="楷体_GB2312" w:hint="eastAsia"/>
          <w:b/>
          <w:bCs/>
          <w:szCs w:val="32"/>
        </w:rPr>
        <w:t>经济发展动能持续释放。</w:t>
      </w:r>
      <w:r>
        <w:rPr>
          <w:rFonts w:hint="eastAsia"/>
          <w:szCs w:val="32"/>
        </w:rPr>
        <w:t>以经济建设为中心，现代化产业体系日益优化，经济体制改革纵深推进，对外开放水平显著提升，县域发展活力得到全面激发。文旅支柱产业持续做优做强，农业农村现代化进程加快，乡村全面振兴得到有效推进，清洁能源上下游产业布局提速，川藏铁路等重大项目建设得到有力保障，经济发展质量和效益实现同步提升。</w:t>
      </w:r>
    </w:p>
    <w:p>
      <w:pPr>
        <w:adjustRightInd w:val="0"/>
        <w:snapToGrid w:val="0"/>
        <w:rPr>
          <w:szCs w:val="32"/>
        </w:rPr>
      </w:pPr>
      <w:r>
        <w:rPr>
          <w:b/>
          <w:bCs/>
          <w:szCs w:val="21"/>
        </w:rPr>
        <w:t>——</w:t>
      </w:r>
      <w:r>
        <w:rPr>
          <w:rFonts w:eastAsia="楷体_GB2312" w:hint="eastAsia"/>
          <w:b/>
          <w:bCs/>
          <w:szCs w:val="32"/>
        </w:rPr>
        <w:t>改革开放水平显著提升。</w:t>
      </w:r>
      <w:r>
        <w:rPr>
          <w:rFonts w:hint="eastAsia"/>
          <w:szCs w:val="32"/>
        </w:rPr>
        <w:t>战略性投资持续提升，营商环境市场化、法治化、国际化改革深入推进，市场活力有效激发，开放合作制度机制不断创新。对外贸易积极发展，交通、能源、数字等基础设施网络不断完善，</w:t>
      </w:r>
      <w:bookmarkStart w:id="163" w:name="OLE_LINK97"/>
      <w:r>
        <w:rPr>
          <w:rFonts w:hint="eastAsia"/>
          <w:szCs w:val="32"/>
        </w:rPr>
        <w:t>加速形成</w:t>
      </w:r>
      <w:bookmarkEnd w:id="163"/>
      <w:r>
        <w:rPr>
          <w:rFonts w:hint="eastAsia"/>
          <w:szCs w:val="32"/>
        </w:rPr>
        <w:t>区域协调发展局面。</w:t>
      </w:r>
      <w:bookmarkStart w:id="164" w:name="OLE_LINK96"/>
      <w:r>
        <w:rPr>
          <w:rFonts w:hint="eastAsia"/>
          <w:szCs w:val="32"/>
        </w:rPr>
        <w:t>统筹推进</w:t>
      </w:r>
      <w:bookmarkEnd w:id="164"/>
      <w:r>
        <w:rPr>
          <w:rFonts w:hint="eastAsia"/>
          <w:szCs w:val="32"/>
        </w:rPr>
        <w:t>新型城镇化与乡村产业振兴，农牧民就业增收渠道持续拓宽，改革发展成果更多惠及各族群众。</w:t>
      </w:r>
    </w:p>
    <w:p>
      <w:pPr>
        <w:adjustRightInd w:val="0"/>
        <w:snapToGrid w:val="0"/>
        <w:rPr>
          <w:szCs w:val="32"/>
        </w:rPr>
      </w:pPr>
      <w:r>
        <w:rPr>
          <w:b/>
          <w:bCs/>
          <w:szCs w:val="21"/>
        </w:rPr>
        <w:t>——</w:t>
      </w:r>
      <w:r>
        <w:rPr>
          <w:rFonts w:eastAsia="楷体_GB2312" w:hint="eastAsia"/>
          <w:b/>
          <w:bCs/>
          <w:szCs w:val="32"/>
        </w:rPr>
        <w:t>民生福祉品质全面改善。</w:t>
      </w:r>
      <w:r>
        <w:rPr>
          <w:rFonts w:hint="eastAsia"/>
          <w:szCs w:val="32"/>
        </w:rPr>
        <w:t>共同富裕政策体系不断完善，社会事业得到优质均衡发展。高质量充分就业取得新进展，教体事业取得长足发展，基层医疗服务能力稳步提升，社会保障与收入分配制度更加完善，文化事业繁荣发展，各族群众获得感、幸福感、安全感持续增强。</w:t>
      </w:r>
    </w:p>
    <w:p>
      <w:pPr>
        <w:adjustRightInd w:val="0"/>
        <w:snapToGrid w:val="0"/>
        <w:rPr>
          <w:szCs w:val="32"/>
        </w:rPr>
      </w:pPr>
      <w:r>
        <w:rPr>
          <w:b/>
          <w:bCs/>
          <w:szCs w:val="21"/>
        </w:rPr>
        <w:t>——</w:t>
      </w:r>
      <w:r>
        <w:rPr>
          <w:rFonts w:eastAsia="楷体_GB2312" w:hint="eastAsia"/>
          <w:b/>
          <w:bCs/>
          <w:szCs w:val="32"/>
        </w:rPr>
        <w:t>生态安全屏障更加牢固。</w:t>
      </w:r>
      <w:r>
        <w:rPr>
          <w:rFonts w:hint="eastAsia"/>
          <w:szCs w:val="32"/>
        </w:rPr>
        <w:t>生态环境保护治理持续推进，生态文明体制机制更加健全，生态产品价值实现路径愈加丰富，绿色低碳转型发展扎实推动，全力争创国家生态文明高地和“两山”实践创新基地。自然灾害防御能力显著提升，空气、土壤、水质等环境要素监测与执法监管体系日趋完善，生态保护效益持续显现，绿水青山底色愈加鲜明。</w:t>
      </w:r>
    </w:p>
    <w:p>
      <w:pPr>
        <w:adjustRightInd w:val="0"/>
        <w:snapToGrid w:val="0"/>
        <w:rPr>
          <w:szCs w:val="32"/>
        </w:rPr>
      </w:pPr>
      <w:r>
        <w:rPr>
          <w:b/>
          <w:bCs/>
          <w:szCs w:val="21"/>
        </w:rPr>
        <w:t>——</w:t>
      </w:r>
      <w:r>
        <w:rPr>
          <w:rFonts w:eastAsia="楷体_GB2312" w:hint="eastAsia"/>
          <w:b/>
          <w:bCs/>
          <w:szCs w:val="32"/>
        </w:rPr>
        <w:t>社会大局保持和谐稳定。</w:t>
      </w:r>
      <w:r>
        <w:rPr>
          <w:rFonts w:hint="eastAsia"/>
          <w:szCs w:val="32"/>
        </w:rPr>
        <w:t>持续巩固民族团结进步创建成果，中华民族共同体意识深入人心，藏传佛教中国化扎实推进。不断筑牢公共安全防线，综合国防动员能力显著提升，</w:t>
      </w:r>
      <w:bookmarkStart w:id="165" w:name="OLE_LINK104"/>
      <w:r>
        <w:rPr>
          <w:rFonts w:hint="eastAsia"/>
          <w:szCs w:val="32"/>
        </w:rPr>
        <w:t>全领域安全监管力度持续强化</w:t>
      </w:r>
      <w:bookmarkEnd w:id="165"/>
      <w:r>
        <w:rPr>
          <w:rFonts w:hint="eastAsia"/>
          <w:szCs w:val="32"/>
        </w:rPr>
        <w:t>。民主法治更加健全，社会公平正义进一步彰显，社会治理体系和治理能力现代化水平全面提高，建设安全和谐稳定波密。</w:t>
      </w:r>
    </w:p>
    <w:p>
      <w:pPr>
        <w:adjustRightInd w:val="0"/>
        <w:snapToGrid w:val="0"/>
        <w:rPr>
          <w:szCs w:val="32"/>
        </w:rPr>
      </w:pPr>
      <w:r>
        <w:rPr>
          <w:rFonts w:hint="eastAsia"/>
          <w:szCs w:val="32"/>
        </w:rPr>
        <w:t>到“十五五”末，波密县经济综合实力显著增强，地区生产总值保持稳定增长，现代化产业体系基本形成，经济增长新动能初步显现，城乡居民人均可支配收入明显提高，人民生活更加幸福美好。</w:t>
      </w:r>
    </w:p>
    <w:p>
      <w:pPr>
        <w:rPr>
          <w:szCs w:val="32"/>
        </w:rPr>
      </w:pPr>
      <w:r>
        <w:rPr>
          <w:rFonts w:hint="eastAsia"/>
          <w:szCs w:val="32"/>
        </w:rPr>
        <w:t>到二</w:t>
      </w:r>
      <w:r>
        <w:rPr>
          <w:rFonts w:eastAsia="微软雅黑" w:hint="eastAsia"/>
          <w:szCs w:val="32"/>
        </w:rPr>
        <w:t>〇</w:t>
      </w:r>
      <w:r>
        <w:rPr>
          <w:rFonts w:hint="eastAsia"/>
          <w:szCs w:val="32"/>
        </w:rPr>
        <w:t>三五年，波密县人均地区生产总值、城乡居民人均可支配收入实现大幅增长，各领域发展水平大幅跃升，与全国全区全市一道基本实现社会主义现代化，建成团结富裕文明和谐美丽的社会主义现代化新波密。</w:t>
      </w:r>
      <w:r>
        <w:rPr>
          <w:szCs w:val="32"/>
        </w:rPr>
        <w:br w:type="page"/>
      </w:r>
    </w:p>
    <w:tbl>
      <w:tblPr>
        <w:tblpPr w:leftFromText="180" w:rightFromText="180" w:vertAnchor="text" w:horzAnchor="margin" w:tblpXSpec="left" w:tblpY="132"/>
        <w:tblOverlap w:val="never"/>
        <w:tblW w:w="8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5" w:type="dxa"/>
          <w:left w:w="108" w:type="dxa"/>
          <w:bottom w:w="15" w:type="dxa"/>
          <w:right w:w="108" w:type="dxa"/>
        </w:tblCellMar>
      </w:tblPr>
      <w:tblGrid>
        <w:gridCol w:w="989"/>
        <w:gridCol w:w="3556"/>
        <w:gridCol w:w="837"/>
        <w:gridCol w:w="850"/>
        <w:gridCol w:w="1125"/>
        <w:gridCol w:w="870"/>
      </w:tblGrid>
      <w:tr>
        <w:trPr>
          <w:trHeight w:val="397"/>
        </w:trPr>
        <w:tc>
          <w:tcPr>
            <w:tcW w:w="8227" w:type="dxa"/>
            <w:gridSpan w:val="6"/>
            <w:tcBorders>
              <w:top w:val="single" w:sz="4" w:space="0" w:color="auto"/>
            </w:tcBorders>
            <w:vAlign w:val="center"/>
          </w:tcPr>
          <w:p>
            <w:pPr>
              <w:shd w:val="solid" w:color="FFFFFF" w:fill="auto"/>
              <w:autoSpaceDN w:val="0"/>
              <w:adjustRightInd w:val="0"/>
              <w:snapToGrid w:val="0"/>
              <w:spacing w:line="280" w:lineRule="exact"/>
              <w:ind w:firstLineChars="0" w:firstLine="0"/>
              <w:jc w:val="center"/>
              <w:rPr>
                <w:rFonts w:eastAsia="宋体"/>
                <w:b/>
                <w:bCs/>
                <w:kern w:val="0"/>
                <w:sz w:val="18"/>
                <w:szCs w:val="18"/>
              </w:rPr>
            </w:pPr>
            <w:bookmarkStart w:id="166" w:name="_Toc218406227"/>
            <w:r>
              <w:rPr>
                <w:rFonts w:eastAsia="宋体"/>
                <w:b/>
                <w:bCs/>
                <w:sz w:val="18"/>
                <w:szCs w:val="18"/>
              </w:rPr>
              <w:t>专栏</w:t>
            </w:r>
            <w:r>
              <w:rPr>
                <w:rFonts w:eastAsia="宋体" w:hint="eastAsia"/>
                <w:b/>
                <w:bCs/>
                <w:sz w:val="18"/>
                <w:szCs w:val="18"/>
              </w:rPr>
              <w:t>2</w:t>
            </w:r>
            <w:r>
              <w:rPr>
                <w:rFonts w:eastAsia="宋体"/>
                <w:b/>
                <w:bCs/>
                <w:sz w:val="18"/>
                <w:szCs w:val="18"/>
              </w:rPr>
              <w:t xml:space="preserve">  </w:t>
            </w:r>
            <w:r>
              <w:rPr>
                <w:rFonts w:eastAsia="宋体" w:hint="eastAsia"/>
                <w:b/>
                <w:bCs/>
                <w:sz w:val="18"/>
                <w:szCs w:val="18"/>
              </w:rPr>
              <w:t>“十五五”时期波密县经济社会发展主要指标</w:t>
            </w:r>
          </w:p>
        </w:tc>
      </w:tr>
      <w:tr>
        <w:trPr>
          <w:trHeight w:val="397"/>
        </w:trPr>
        <w:tc>
          <w:tcPr>
            <w:tcW w:w="989" w:type="dxa"/>
            <w:tcBorders>
              <w:top w:val="single" w:sz="4" w:space="0" w:color="auto"/>
            </w:tcBorders>
            <w:vAlign w:val="center"/>
          </w:tcPr>
          <w:p>
            <w:pPr>
              <w:widowControl/>
              <w:adjustRightInd w:val="0"/>
              <w:snapToGrid w:val="0"/>
              <w:spacing w:line="240" w:lineRule="auto"/>
              <w:ind w:firstLineChars="0" w:firstLine="0"/>
              <w:jc w:val="center"/>
              <w:rPr>
                <w:b/>
                <w:bCs/>
                <w:kern w:val="0"/>
                <w:sz w:val="18"/>
                <w:szCs w:val="18"/>
              </w:rPr>
            </w:pPr>
            <w:r>
              <w:rPr>
                <w:rFonts w:hint="eastAsia"/>
                <w:b/>
                <w:bCs/>
                <w:kern w:val="0"/>
                <w:sz w:val="18"/>
                <w:szCs w:val="18"/>
              </w:rPr>
              <w:t>类</w:t>
            </w:r>
            <w:r>
              <w:rPr>
                <w:b/>
                <w:bCs/>
                <w:kern w:val="0"/>
                <w:sz w:val="18"/>
                <w:szCs w:val="18"/>
              </w:rPr>
              <w:t xml:space="preserve">  </w:t>
            </w:r>
            <w:r>
              <w:rPr>
                <w:rFonts w:hint="eastAsia"/>
                <w:b/>
                <w:bCs/>
                <w:kern w:val="0"/>
                <w:sz w:val="18"/>
                <w:szCs w:val="18"/>
              </w:rPr>
              <w:t>别</w:t>
            </w:r>
          </w:p>
        </w:tc>
        <w:tc>
          <w:tcPr>
            <w:tcW w:w="3556" w:type="dxa"/>
            <w:tcBorders>
              <w:top w:val="single" w:sz="4" w:space="0" w:color="auto"/>
            </w:tcBorders>
            <w:vAlign w:val="center"/>
          </w:tcPr>
          <w:p>
            <w:pPr>
              <w:widowControl/>
              <w:adjustRightInd w:val="0"/>
              <w:snapToGrid w:val="0"/>
              <w:spacing w:line="240" w:lineRule="auto"/>
              <w:ind w:firstLineChars="0" w:firstLine="0"/>
              <w:jc w:val="center"/>
              <w:rPr>
                <w:b/>
                <w:bCs/>
                <w:kern w:val="0"/>
                <w:sz w:val="18"/>
                <w:szCs w:val="18"/>
              </w:rPr>
            </w:pPr>
            <w:r>
              <w:rPr>
                <w:rFonts w:hint="eastAsia"/>
                <w:b/>
                <w:bCs/>
                <w:kern w:val="0"/>
                <w:sz w:val="18"/>
                <w:szCs w:val="18"/>
              </w:rPr>
              <w:t>指</w:t>
            </w:r>
            <w:r>
              <w:rPr>
                <w:b/>
                <w:bCs/>
                <w:kern w:val="0"/>
                <w:sz w:val="18"/>
                <w:szCs w:val="18"/>
              </w:rPr>
              <w:t xml:space="preserve">  </w:t>
            </w:r>
            <w:r>
              <w:rPr>
                <w:rFonts w:hint="eastAsia"/>
                <w:b/>
                <w:bCs/>
                <w:kern w:val="0"/>
                <w:sz w:val="18"/>
                <w:szCs w:val="18"/>
              </w:rPr>
              <w:t>标</w:t>
            </w:r>
          </w:p>
        </w:tc>
        <w:tc>
          <w:tcPr>
            <w:tcW w:w="837" w:type="dxa"/>
            <w:tcBorders>
              <w:top w:val="single" w:sz="4" w:space="0" w:color="auto"/>
            </w:tcBorders>
            <w:vAlign w:val="center"/>
          </w:tcPr>
          <w:p>
            <w:pPr>
              <w:widowControl/>
              <w:adjustRightInd w:val="0"/>
              <w:snapToGrid w:val="0"/>
              <w:spacing w:line="240" w:lineRule="auto"/>
              <w:ind w:firstLineChars="0" w:firstLine="0"/>
              <w:jc w:val="center"/>
              <w:rPr>
                <w:b/>
                <w:bCs/>
                <w:kern w:val="0"/>
                <w:sz w:val="18"/>
                <w:szCs w:val="18"/>
              </w:rPr>
            </w:pPr>
            <w:r>
              <w:rPr>
                <w:b/>
                <w:bCs/>
                <w:kern w:val="0"/>
                <w:sz w:val="18"/>
                <w:szCs w:val="18"/>
              </w:rPr>
              <w:t>2025</w:t>
            </w:r>
            <w:r>
              <w:rPr>
                <w:rFonts w:hint="eastAsia"/>
                <w:b/>
                <w:bCs/>
                <w:kern w:val="0"/>
                <w:sz w:val="18"/>
                <w:szCs w:val="18"/>
              </w:rPr>
              <w:t>年</w:t>
            </w:r>
          </w:p>
        </w:tc>
        <w:tc>
          <w:tcPr>
            <w:tcW w:w="850" w:type="dxa"/>
            <w:tcBorders>
              <w:top w:val="single" w:sz="4" w:space="0" w:color="auto"/>
            </w:tcBorders>
            <w:vAlign w:val="center"/>
          </w:tcPr>
          <w:p>
            <w:pPr>
              <w:widowControl/>
              <w:adjustRightInd w:val="0"/>
              <w:snapToGrid w:val="0"/>
              <w:spacing w:line="240" w:lineRule="auto"/>
              <w:ind w:firstLineChars="0" w:firstLine="0"/>
              <w:jc w:val="center"/>
              <w:rPr>
                <w:b/>
                <w:bCs/>
                <w:kern w:val="0"/>
                <w:sz w:val="18"/>
                <w:szCs w:val="18"/>
              </w:rPr>
            </w:pPr>
            <w:r>
              <w:rPr>
                <w:b/>
                <w:bCs/>
                <w:kern w:val="0"/>
                <w:sz w:val="18"/>
                <w:szCs w:val="18"/>
              </w:rPr>
              <w:t>2030</w:t>
            </w:r>
            <w:r>
              <w:rPr>
                <w:rFonts w:hint="eastAsia"/>
                <w:b/>
                <w:bCs/>
                <w:kern w:val="0"/>
                <w:sz w:val="18"/>
                <w:szCs w:val="18"/>
              </w:rPr>
              <w:t>年</w:t>
            </w:r>
          </w:p>
        </w:tc>
        <w:tc>
          <w:tcPr>
            <w:tcW w:w="1125" w:type="dxa"/>
            <w:tcBorders>
              <w:top w:val="single" w:sz="4" w:space="0" w:color="auto"/>
            </w:tcBorders>
            <w:vAlign w:val="center"/>
          </w:tcPr>
          <w:p>
            <w:pPr>
              <w:widowControl/>
              <w:adjustRightInd w:val="0"/>
              <w:snapToGrid w:val="0"/>
              <w:spacing w:line="240" w:lineRule="auto"/>
              <w:ind w:firstLineChars="0" w:firstLine="0"/>
              <w:jc w:val="center"/>
              <w:rPr>
                <w:b/>
                <w:bCs/>
                <w:kern w:val="0"/>
                <w:sz w:val="18"/>
                <w:szCs w:val="18"/>
              </w:rPr>
            </w:pPr>
            <w:r>
              <w:rPr>
                <w:rFonts w:hint="eastAsia"/>
                <w:b/>
                <w:bCs/>
                <w:kern w:val="0"/>
                <w:sz w:val="18"/>
                <w:szCs w:val="18"/>
              </w:rPr>
              <w:t>年均增长</w:t>
            </w:r>
          </w:p>
          <w:p>
            <w:pPr>
              <w:widowControl/>
              <w:adjustRightInd w:val="0"/>
              <w:snapToGrid w:val="0"/>
              <w:spacing w:line="240" w:lineRule="auto"/>
              <w:ind w:firstLineChars="0" w:firstLine="0"/>
              <w:jc w:val="center"/>
              <w:rPr>
                <w:b/>
                <w:bCs/>
                <w:kern w:val="0"/>
                <w:sz w:val="18"/>
                <w:szCs w:val="18"/>
              </w:rPr>
            </w:pPr>
            <w:r>
              <w:rPr>
                <w:rFonts w:hint="eastAsia"/>
                <w:b/>
                <w:bCs/>
                <w:kern w:val="0"/>
                <w:sz w:val="18"/>
                <w:szCs w:val="18"/>
              </w:rPr>
              <w:t>[累计</w:t>
            </w:r>
            <w:r>
              <w:rPr>
                <w:b/>
                <w:bCs/>
                <w:kern w:val="0"/>
                <w:sz w:val="18"/>
                <w:szCs w:val="18"/>
              </w:rPr>
              <w:t>]</w:t>
            </w:r>
          </w:p>
        </w:tc>
        <w:tc>
          <w:tcPr>
            <w:tcW w:w="870" w:type="dxa"/>
            <w:tcBorders>
              <w:top w:val="single" w:sz="4" w:space="0" w:color="auto"/>
            </w:tcBorders>
            <w:vAlign w:val="center"/>
          </w:tcPr>
          <w:p>
            <w:pPr>
              <w:widowControl/>
              <w:adjustRightInd w:val="0"/>
              <w:snapToGrid w:val="0"/>
              <w:spacing w:line="240" w:lineRule="auto"/>
              <w:ind w:firstLineChars="0" w:firstLine="0"/>
              <w:jc w:val="center"/>
              <w:rPr>
                <w:b/>
                <w:bCs/>
                <w:kern w:val="0"/>
                <w:sz w:val="18"/>
                <w:szCs w:val="18"/>
              </w:rPr>
            </w:pPr>
            <w:r>
              <w:rPr>
                <w:rFonts w:hint="eastAsia"/>
                <w:b/>
                <w:bCs/>
                <w:kern w:val="0"/>
                <w:sz w:val="18"/>
                <w:szCs w:val="18"/>
              </w:rPr>
              <w:t>指标</w:t>
            </w:r>
          </w:p>
          <w:p>
            <w:pPr>
              <w:widowControl/>
              <w:adjustRightInd w:val="0"/>
              <w:snapToGrid w:val="0"/>
              <w:spacing w:line="240" w:lineRule="auto"/>
              <w:ind w:firstLineChars="0" w:firstLine="0"/>
              <w:jc w:val="center"/>
              <w:rPr>
                <w:b/>
                <w:bCs/>
                <w:kern w:val="0"/>
                <w:sz w:val="18"/>
                <w:szCs w:val="18"/>
              </w:rPr>
            </w:pPr>
            <w:r>
              <w:rPr>
                <w:rFonts w:hint="eastAsia"/>
                <w:b/>
                <w:bCs/>
                <w:kern w:val="0"/>
                <w:sz w:val="18"/>
                <w:szCs w:val="18"/>
              </w:rPr>
              <w:t>属性</w:t>
            </w:r>
          </w:p>
        </w:tc>
      </w:tr>
      <w:tr>
        <w:trPr>
          <w:trHeight w:val="397"/>
        </w:trPr>
        <w:tc>
          <w:tcPr>
            <w:tcW w:w="989" w:type="dxa"/>
            <w:vMerge w:val="restart"/>
            <w:vAlign w:val="center"/>
          </w:tcPr>
          <w:p>
            <w:pPr>
              <w:widowControl/>
              <w:adjustRightInd w:val="0"/>
              <w:snapToGrid w:val="0"/>
              <w:spacing w:line="240" w:lineRule="auto"/>
              <w:ind w:firstLineChars="0" w:firstLine="0"/>
              <w:jc w:val="center"/>
              <w:rPr>
                <w:bCs/>
                <w:kern w:val="0"/>
                <w:sz w:val="18"/>
                <w:szCs w:val="18"/>
              </w:rPr>
            </w:pPr>
            <w:r>
              <w:rPr>
                <w:rFonts w:hint="eastAsia"/>
                <w:bCs/>
                <w:kern w:val="0"/>
                <w:sz w:val="18"/>
                <w:szCs w:val="18"/>
              </w:rPr>
              <w:t>经济</w:t>
            </w:r>
          </w:p>
          <w:p>
            <w:pPr>
              <w:widowControl/>
              <w:adjustRightInd w:val="0"/>
              <w:snapToGrid w:val="0"/>
              <w:spacing w:line="240" w:lineRule="auto"/>
              <w:ind w:firstLineChars="0" w:firstLine="0"/>
              <w:jc w:val="center"/>
              <w:rPr>
                <w:bCs/>
                <w:kern w:val="0"/>
                <w:sz w:val="18"/>
                <w:szCs w:val="18"/>
              </w:rPr>
            </w:pPr>
            <w:r>
              <w:rPr>
                <w:rFonts w:hint="eastAsia"/>
                <w:bCs/>
                <w:kern w:val="0"/>
                <w:sz w:val="18"/>
                <w:szCs w:val="18"/>
              </w:rPr>
              <w:t>发展</w:t>
            </w:r>
            <w:r>
              <w:rPr>
                <w:bCs/>
                <w:kern w:val="0"/>
                <w:sz w:val="18"/>
                <w:szCs w:val="18"/>
              </w:rPr>
              <w:t xml:space="preserve"> </w:t>
            </w:r>
          </w:p>
          <w:p>
            <w:pPr>
              <w:widowControl/>
              <w:adjustRightInd w:val="0"/>
              <w:snapToGrid w:val="0"/>
              <w:spacing w:line="240" w:lineRule="auto"/>
              <w:ind w:firstLineChars="0" w:firstLine="0"/>
              <w:jc w:val="center"/>
              <w:rPr>
                <w:bCs/>
                <w:kern w:val="0"/>
                <w:sz w:val="18"/>
                <w:szCs w:val="18"/>
              </w:rPr>
            </w:pPr>
            <w:r>
              <w:rPr>
                <w:rFonts w:hint="eastAsia"/>
                <w:bCs/>
                <w:kern w:val="0"/>
                <w:sz w:val="18"/>
                <w:szCs w:val="18"/>
              </w:rPr>
              <w:t>（</w:t>
            </w:r>
            <w:r>
              <w:rPr>
                <w:bCs/>
                <w:kern w:val="0"/>
                <w:sz w:val="18"/>
                <w:szCs w:val="18"/>
              </w:rPr>
              <w:t>7</w:t>
            </w:r>
            <w:r>
              <w:rPr>
                <w:rFonts w:hint="eastAsia"/>
                <w:bCs/>
                <w:kern w:val="0"/>
                <w:sz w:val="18"/>
                <w:szCs w:val="18"/>
              </w:rPr>
              <w:t>个）</w:t>
            </w:r>
          </w:p>
          <w:p>
            <w:pPr>
              <w:adjustRightInd w:val="0"/>
              <w:snapToGrid w:val="0"/>
              <w:spacing w:line="240" w:lineRule="auto"/>
              <w:jc w:val="center"/>
              <w:rPr>
                <w:bCs/>
                <w:kern w:val="0"/>
                <w:sz w:val="18"/>
                <w:szCs w:val="18"/>
              </w:rPr>
            </w:pPr>
          </w:p>
        </w:tc>
        <w:tc>
          <w:tcPr>
            <w:tcW w:w="3556"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rPr>
                <w:bCs/>
                <w:kern w:val="0"/>
                <w:sz w:val="18"/>
                <w:szCs w:val="18"/>
              </w:rPr>
            </w:pPr>
            <w:r>
              <w:rPr>
                <w:kern w:val="0"/>
                <w:sz w:val="18"/>
                <w:szCs w:val="18"/>
              </w:rPr>
              <w:t>1.</w:t>
            </w:r>
            <w:r>
              <w:rPr>
                <w:rFonts w:hint="eastAsia"/>
                <w:kern w:val="0"/>
                <w:sz w:val="18"/>
                <w:szCs w:val="18"/>
              </w:rPr>
              <w:t>地区生产总值年均增速（</w:t>
            </w:r>
            <w:r>
              <w:rPr>
                <w:kern w:val="0"/>
                <w:sz w:val="18"/>
                <w:szCs w:val="18"/>
              </w:rPr>
              <w:t>%</w:t>
            </w:r>
            <w:r>
              <w:rPr>
                <w:rFonts w:hint="eastAsia"/>
                <w:kern w:val="0"/>
                <w:sz w:val="18"/>
                <w:szCs w:val="18"/>
              </w:rPr>
              <w:t>）</w:t>
            </w:r>
          </w:p>
        </w:tc>
        <w:tc>
          <w:tcPr>
            <w:tcW w:w="837"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kern w:val="0"/>
                <w:sz w:val="18"/>
                <w:szCs w:val="18"/>
              </w:rPr>
              <w:t>8.6</w:t>
            </w:r>
          </w:p>
        </w:tc>
        <w:tc>
          <w:tcPr>
            <w:tcW w:w="850"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kern w:val="0"/>
                <w:sz w:val="18"/>
                <w:szCs w:val="18"/>
              </w:rPr>
              <w:t>9.5</w:t>
            </w:r>
          </w:p>
        </w:tc>
        <w:tc>
          <w:tcPr>
            <w:tcW w:w="1125"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bCs/>
                <w:kern w:val="0"/>
                <w:sz w:val="18"/>
                <w:szCs w:val="18"/>
              </w:rPr>
              <w:t>8.5</w:t>
            </w:r>
          </w:p>
        </w:tc>
        <w:tc>
          <w:tcPr>
            <w:tcW w:w="870" w:type="dxa"/>
            <w:vAlign w:val="center"/>
          </w:tcPr>
          <w:p>
            <w:pPr>
              <w:widowControl/>
              <w:adjustRightInd w:val="0"/>
              <w:snapToGrid w:val="0"/>
              <w:spacing w:line="240" w:lineRule="auto"/>
              <w:ind w:firstLineChars="0" w:firstLine="0"/>
              <w:jc w:val="center"/>
              <w:rPr>
                <w:bCs/>
                <w:kern w:val="0"/>
                <w:sz w:val="18"/>
                <w:szCs w:val="18"/>
              </w:rPr>
            </w:pPr>
            <w:r>
              <w:rPr>
                <w:rFonts w:hint="eastAsia"/>
                <w:sz w:val="18"/>
                <w:szCs w:val="18"/>
              </w:rPr>
              <w:t>预期</w:t>
            </w:r>
          </w:p>
        </w:tc>
      </w:tr>
      <w:tr>
        <w:trPr>
          <w:trHeight w:val="397"/>
        </w:trPr>
        <w:tc>
          <w:tcPr>
            <w:tcW w:w="989" w:type="dxa"/>
            <w:vMerge/>
            <w:vAlign w:val="center"/>
          </w:tcPr>
          <w:p/>
        </w:tc>
        <w:tc>
          <w:tcPr>
            <w:tcW w:w="3556"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rPr>
                <w:bCs/>
                <w:kern w:val="0"/>
                <w:sz w:val="18"/>
                <w:szCs w:val="18"/>
              </w:rPr>
            </w:pPr>
            <w:r>
              <w:rPr>
                <w:kern w:val="0"/>
                <w:sz w:val="18"/>
                <w:szCs w:val="18"/>
              </w:rPr>
              <w:t>2.</w:t>
            </w:r>
            <w:r>
              <w:rPr>
                <w:rFonts w:hint="eastAsia"/>
                <w:kern w:val="0"/>
                <w:sz w:val="18"/>
                <w:szCs w:val="18"/>
              </w:rPr>
              <w:t>常住人口城镇化率（</w:t>
            </w:r>
            <w:r>
              <w:rPr>
                <w:kern w:val="0"/>
                <w:sz w:val="18"/>
                <w:szCs w:val="18"/>
              </w:rPr>
              <w:t>%</w:t>
            </w:r>
            <w:r>
              <w:rPr>
                <w:rFonts w:hint="eastAsia"/>
                <w:kern w:val="0"/>
                <w:sz w:val="18"/>
                <w:szCs w:val="18"/>
              </w:rPr>
              <w:t>）</w:t>
            </w:r>
          </w:p>
        </w:tc>
        <w:tc>
          <w:tcPr>
            <w:tcW w:w="837"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kern w:val="0"/>
                <w:sz w:val="18"/>
                <w:szCs w:val="18"/>
              </w:rPr>
              <w:t>31.6</w:t>
            </w:r>
          </w:p>
        </w:tc>
        <w:tc>
          <w:tcPr>
            <w:tcW w:w="850"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kern w:val="0"/>
                <w:sz w:val="18"/>
                <w:szCs w:val="18"/>
              </w:rPr>
              <w:t>35.6</w:t>
            </w:r>
          </w:p>
        </w:tc>
        <w:tc>
          <w:tcPr>
            <w:tcW w:w="1125"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rFonts w:hint="eastAsia"/>
                <w:bCs/>
                <w:kern w:val="0"/>
                <w:sz w:val="18"/>
                <w:szCs w:val="18"/>
              </w:rPr>
              <w:t>[</w:t>
            </w:r>
            <w:r>
              <w:rPr>
                <w:bCs/>
                <w:kern w:val="0"/>
                <w:sz w:val="18"/>
                <w:szCs w:val="18"/>
              </w:rPr>
              <w:t>4]</w:t>
            </w:r>
          </w:p>
        </w:tc>
        <w:tc>
          <w:tcPr>
            <w:tcW w:w="870" w:type="dxa"/>
            <w:vAlign w:val="center"/>
          </w:tcPr>
          <w:p>
            <w:pPr>
              <w:widowControl/>
              <w:adjustRightInd w:val="0"/>
              <w:snapToGrid w:val="0"/>
              <w:spacing w:line="240" w:lineRule="auto"/>
              <w:ind w:firstLineChars="0" w:firstLine="0"/>
              <w:jc w:val="center"/>
              <w:rPr>
                <w:bCs/>
                <w:kern w:val="0"/>
                <w:sz w:val="18"/>
                <w:szCs w:val="18"/>
              </w:rPr>
            </w:pPr>
            <w:r>
              <w:rPr>
                <w:rFonts w:hint="eastAsia"/>
                <w:sz w:val="18"/>
                <w:szCs w:val="18"/>
              </w:rPr>
              <w:t>预期</w:t>
            </w:r>
          </w:p>
        </w:tc>
      </w:tr>
      <w:tr>
        <w:trPr>
          <w:trHeight w:val="397"/>
        </w:trPr>
        <w:tc>
          <w:tcPr>
            <w:tcW w:w="989" w:type="dxa"/>
            <w:vMerge/>
            <w:vAlign w:val="center"/>
          </w:tcPr>
          <w:p/>
        </w:tc>
        <w:tc>
          <w:tcPr>
            <w:tcW w:w="3556"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rPr>
                <w:bCs/>
                <w:kern w:val="0"/>
                <w:sz w:val="18"/>
                <w:szCs w:val="18"/>
              </w:rPr>
            </w:pPr>
            <w:r>
              <w:rPr>
                <w:kern w:val="0"/>
                <w:sz w:val="18"/>
                <w:szCs w:val="18"/>
              </w:rPr>
              <w:t>3.</w:t>
            </w:r>
            <w:r>
              <w:rPr>
                <w:rFonts w:hint="eastAsia"/>
                <w:kern w:val="0"/>
                <w:sz w:val="18"/>
                <w:szCs w:val="18"/>
              </w:rPr>
              <w:t>旅游总花费年均增速（</w:t>
            </w:r>
            <w:r>
              <w:rPr>
                <w:kern w:val="0"/>
                <w:sz w:val="18"/>
                <w:szCs w:val="18"/>
              </w:rPr>
              <w:t>%</w:t>
            </w:r>
            <w:r>
              <w:rPr>
                <w:rFonts w:hint="eastAsia"/>
                <w:kern w:val="0"/>
                <w:sz w:val="18"/>
                <w:szCs w:val="18"/>
              </w:rPr>
              <w:t>）</w:t>
            </w:r>
          </w:p>
        </w:tc>
        <w:tc>
          <w:tcPr>
            <w:tcW w:w="837"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rFonts w:hint="eastAsia"/>
                <w:kern w:val="0"/>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rFonts w:hint="eastAsia"/>
                <w:kern w:val="0"/>
                <w:sz w:val="18"/>
                <w:szCs w:val="18"/>
              </w:rPr>
              <w:t>≥</w:t>
            </w:r>
            <w:r>
              <w:rPr>
                <w:kern w:val="0"/>
                <w:sz w:val="18"/>
                <w:szCs w:val="18"/>
              </w:rPr>
              <w:t>10</w:t>
            </w:r>
          </w:p>
        </w:tc>
        <w:tc>
          <w:tcPr>
            <w:tcW w:w="1125"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rFonts w:hint="eastAsia"/>
                <w:kern w:val="0"/>
                <w:sz w:val="18"/>
                <w:szCs w:val="18"/>
              </w:rPr>
              <w:t>≥</w:t>
            </w:r>
            <w:r>
              <w:rPr>
                <w:bCs/>
                <w:kern w:val="0"/>
                <w:sz w:val="18"/>
                <w:szCs w:val="18"/>
              </w:rPr>
              <w:t>10</w:t>
            </w:r>
          </w:p>
        </w:tc>
        <w:tc>
          <w:tcPr>
            <w:tcW w:w="870" w:type="dxa"/>
            <w:vAlign w:val="center"/>
          </w:tcPr>
          <w:p>
            <w:pPr>
              <w:widowControl/>
              <w:adjustRightInd w:val="0"/>
              <w:snapToGrid w:val="0"/>
              <w:spacing w:line="240" w:lineRule="auto"/>
              <w:ind w:firstLineChars="0" w:firstLine="0"/>
              <w:jc w:val="center"/>
              <w:rPr>
                <w:bCs/>
                <w:kern w:val="0"/>
                <w:sz w:val="18"/>
                <w:szCs w:val="18"/>
              </w:rPr>
            </w:pPr>
            <w:r>
              <w:rPr>
                <w:rFonts w:hint="eastAsia"/>
                <w:sz w:val="18"/>
                <w:szCs w:val="18"/>
              </w:rPr>
              <w:t>预期</w:t>
            </w:r>
          </w:p>
        </w:tc>
      </w:tr>
      <w:tr>
        <w:trPr>
          <w:trHeight w:val="397"/>
        </w:trPr>
        <w:tc>
          <w:tcPr>
            <w:tcW w:w="989" w:type="dxa"/>
            <w:vMerge/>
            <w:vAlign w:val="center"/>
          </w:tcPr>
          <w:p/>
        </w:tc>
        <w:tc>
          <w:tcPr>
            <w:tcW w:w="3556"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rPr>
                <w:bCs/>
                <w:kern w:val="0"/>
                <w:sz w:val="18"/>
                <w:szCs w:val="18"/>
              </w:rPr>
            </w:pPr>
            <w:r>
              <w:rPr>
                <w:kern w:val="0"/>
                <w:sz w:val="18"/>
                <w:szCs w:val="18"/>
              </w:rPr>
              <w:t>4.</w:t>
            </w:r>
            <w:r>
              <w:rPr>
                <w:rFonts w:hint="eastAsia"/>
                <w:kern w:val="0"/>
                <w:sz w:val="18"/>
                <w:szCs w:val="18"/>
              </w:rPr>
              <w:t>进出口总额（万元）</w:t>
            </w:r>
          </w:p>
        </w:tc>
        <w:tc>
          <w:tcPr>
            <w:tcW w:w="837"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kern w:val="0"/>
                <w:sz w:val="18"/>
                <w:szCs w:val="18"/>
              </w:rPr>
              <w:t>39.1</w:t>
            </w:r>
          </w:p>
        </w:tc>
        <w:tc>
          <w:tcPr>
            <w:tcW w:w="850"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kern w:val="0"/>
                <w:sz w:val="18"/>
                <w:szCs w:val="18"/>
              </w:rPr>
              <w:t>50</w:t>
            </w:r>
          </w:p>
        </w:tc>
        <w:tc>
          <w:tcPr>
            <w:tcW w:w="1125"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bCs/>
                <w:kern w:val="0"/>
                <w:sz w:val="18"/>
                <w:szCs w:val="18"/>
              </w:rPr>
              <w:t>5</w:t>
            </w:r>
          </w:p>
        </w:tc>
        <w:tc>
          <w:tcPr>
            <w:tcW w:w="870" w:type="dxa"/>
            <w:vAlign w:val="center"/>
          </w:tcPr>
          <w:p>
            <w:pPr>
              <w:widowControl/>
              <w:adjustRightInd w:val="0"/>
              <w:snapToGrid w:val="0"/>
              <w:spacing w:line="240" w:lineRule="auto"/>
              <w:ind w:firstLineChars="0" w:firstLine="0"/>
              <w:jc w:val="center"/>
              <w:rPr>
                <w:bCs/>
                <w:kern w:val="0"/>
                <w:sz w:val="18"/>
                <w:szCs w:val="18"/>
              </w:rPr>
            </w:pPr>
            <w:r>
              <w:rPr>
                <w:rFonts w:hint="eastAsia"/>
                <w:sz w:val="18"/>
                <w:szCs w:val="18"/>
              </w:rPr>
              <w:t>预期</w:t>
            </w:r>
          </w:p>
        </w:tc>
      </w:tr>
      <w:tr>
        <w:trPr>
          <w:trHeight w:val="397"/>
        </w:trPr>
        <w:tc>
          <w:tcPr>
            <w:tcW w:w="989" w:type="dxa"/>
            <w:vMerge/>
            <w:vAlign w:val="center"/>
          </w:tcPr>
          <w:p/>
        </w:tc>
        <w:tc>
          <w:tcPr>
            <w:tcW w:w="3556"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rPr>
                <w:kern w:val="0"/>
                <w:sz w:val="18"/>
                <w:szCs w:val="18"/>
              </w:rPr>
            </w:pPr>
            <w:r>
              <w:rPr>
                <w:kern w:val="0"/>
                <w:sz w:val="18"/>
                <w:szCs w:val="18"/>
              </w:rPr>
              <w:t>5.</w:t>
            </w:r>
            <w:r>
              <w:rPr>
                <w:rFonts w:hint="eastAsia"/>
                <w:kern w:val="0"/>
                <w:sz w:val="18"/>
                <w:szCs w:val="18"/>
              </w:rPr>
              <w:t>社会消费品零售总额年均增速（</w:t>
            </w:r>
            <w:r>
              <w:rPr>
                <w:kern w:val="0"/>
                <w:sz w:val="18"/>
                <w:szCs w:val="18"/>
              </w:rPr>
              <w:t>%</w:t>
            </w:r>
            <w:r>
              <w:rPr>
                <w:rFonts w:hint="eastAsia"/>
                <w:kern w:val="0"/>
                <w:sz w:val="18"/>
                <w:szCs w:val="18"/>
              </w:rPr>
              <w:t>）</w:t>
            </w:r>
          </w:p>
        </w:tc>
        <w:tc>
          <w:tcPr>
            <w:tcW w:w="837"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kern w:val="0"/>
                <w:sz w:val="18"/>
                <w:szCs w:val="18"/>
              </w:rPr>
            </w:pPr>
            <w:r>
              <w:rPr>
                <w:kern w:val="0"/>
                <w:sz w:val="18"/>
                <w:szCs w:val="18"/>
              </w:rPr>
              <w:t>9</w:t>
            </w:r>
          </w:p>
        </w:tc>
        <w:tc>
          <w:tcPr>
            <w:tcW w:w="850"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kern w:val="0"/>
                <w:sz w:val="18"/>
                <w:szCs w:val="18"/>
              </w:rPr>
            </w:pPr>
            <w:r>
              <w:rPr>
                <w:kern w:val="0"/>
                <w:sz w:val="18"/>
                <w:szCs w:val="18"/>
              </w:rPr>
              <w:t>7.5</w:t>
            </w:r>
          </w:p>
        </w:tc>
        <w:tc>
          <w:tcPr>
            <w:tcW w:w="1125"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bCs/>
                <w:kern w:val="0"/>
                <w:sz w:val="18"/>
                <w:szCs w:val="18"/>
              </w:rPr>
              <w:t>7.5</w:t>
            </w:r>
          </w:p>
        </w:tc>
        <w:tc>
          <w:tcPr>
            <w:tcW w:w="870" w:type="dxa"/>
            <w:vAlign w:val="center"/>
          </w:tcPr>
          <w:p>
            <w:pPr>
              <w:widowControl/>
              <w:adjustRightInd w:val="0"/>
              <w:snapToGrid w:val="0"/>
              <w:spacing w:line="240" w:lineRule="auto"/>
              <w:ind w:firstLineChars="0" w:firstLine="0"/>
              <w:jc w:val="center"/>
              <w:rPr>
                <w:sz w:val="18"/>
                <w:szCs w:val="18"/>
              </w:rPr>
            </w:pPr>
            <w:r>
              <w:rPr>
                <w:rFonts w:hint="eastAsia"/>
                <w:sz w:val="18"/>
                <w:szCs w:val="18"/>
              </w:rPr>
              <w:t>预期</w:t>
            </w:r>
          </w:p>
        </w:tc>
      </w:tr>
      <w:tr>
        <w:trPr>
          <w:trHeight w:val="397"/>
        </w:trPr>
        <w:tc>
          <w:tcPr>
            <w:tcW w:w="989" w:type="dxa"/>
            <w:vMerge/>
            <w:vAlign w:val="center"/>
          </w:tcPr>
          <w:p/>
        </w:tc>
        <w:tc>
          <w:tcPr>
            <w:tcW w:w="3556"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rPr>
                <w:kern w:val="0"/>
                <w:sz w:val="18"/>
                <w:szCs w:val="18"/>
              </w:rPr>
            </w:pPr>
            <w:r>
              <w:rPr>
                <w:kern w:val="0"/>
                <w:sz w:val="18"/>
                <w:szCs w:val="18"/>
              </w:rPr>
              <w:t>6.</w:t>
            </w:r>
            <w:r>
              <w:rPr>
                <w:rFonts w:hint="eastAsia"/>
                <w:kern w:val="0"/>
                <w:sz w:val="18"/>
                <w:szCs w:val="18"/>
              </w:rPr>
              <w:t>年游客接待量（万人次）</w:t>
            </w:r>
          </w:p>
        </w:tc>
        <w:tc>
          <w:tcPr>
            <w:tcW w:w="837"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kern w:val="0"/>
                <w:sz w:val="18"/>
                <w:szCs w:val="18"/>
              </w:rPr>
            </w:pPr>
            <w:r>
              <w:rPr>
                <w:kern w:val="0"/>
                <w:sz w:val="18"/>
                <w:szCs w:val="18"/>
              </w:rPr>
              <w:t>316</w:t>
            </w:r>
          </w:p>
        </w:tc>
        <w:tc>
          <w:tcPr>
            <w:tcW w:w="850"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kern w:val="0"/>
                <w:sz w:val="18"/>
                <w:szCs w:val="18"/>
              </w:rPr>
            </w:pPr>
            <w:r>
              <w:rPr>
                <w:kern w:val="0"/>
                <w:sz w:val="18"/>
                <w:szCs w:val="18"/>
              </w:rPr>
              <w:t>465</w:t>
            </w:r>
          </w:p>
        </w:tc>
        <w:tc>
          <w:tcPr>
            <w:tcW w:w="1125"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bCs/>
                <w:kern w:val="0"/>
                <w:sz w:val="18"/>
                <w:szCs w:val="18"/>
              </w:rPr>
              <w:t>8</w:t>
            </w:r>
          </w:p>
        </w:tc>
        <w:tc>
          <w:tcPr>
            <w:tcW w:w="870" w:type="dxa"/>
            <w:vAlign w:val="center"/>
          </w:tcPr>
          <w:p>
            <w:pPr>
              <w:widowControl/>
              <w:adjustRightInd w:val="0"/>
              <w:snapToGrid w:val="0"/>
              <w:spacing w:line="240" w:lineRule="auto"/>
              <w:ind w:firstLineChars="0" w:firstLine="0"/>
              <w:jc w:val="center"/>
              <w:rPr>
                <w:sz w:val="18"/>
                <w:szCs w:val="18"/>
              </w:rPr>
            </w:pPr>
            <w:r>
              <w:rPr>
                <w:rFonts w:hint="eastAsia"/>
                <w:sz w:val="18"/>
                <w:szCs w:val="18"/>
              </w:rPr>
              <w:t>预期</w:t>
            </w:r>
          </w:p>
        </w:tc>
      </w:tr>
      <w:tr>
        <w:trPr>
          <w:trHeight w:val="397"/>
        </w:trPr>
        <w:tc>
          <w:tcPr>
            <w:tcW w:w="989" w:type="dxa"/>
            <w:vMerge/>
            <w:vAlign w:val="center"/>
          </w:tcPr>
          <w:p/>
        </w:tc>
        <w:tc>
          <w:tcPr>
            <w:tcW w:w="3556"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rPr>
                <w:kern w:val="0"/>
                <w:sz w:val="18"/>
                <w:szCs w:val="18"/>
              </w:rPr>
            </w:pPr>
            <w:r>
              <w:rPr>
                <w:rFonts w:hint="eastAsia"/>
                <w:kern w:val="0"/>
                <w:sz w:val="18"/>
                <w:szCs w:val="18"/>
              </w:rPr>
              <w:t>7</w:t>
            </w:r>
            <w:r>
              <w:rPr>
                <w:kern w:val="0"/>
                <w:sz w:val="18"/>
                <w:szCs w:val="18"/>
              </w:rPr>
              <w:t>.</w:t>
            </w:r>
            <w:r>
              <w:rPr>
                <w:rFonts w:hint="eastAsia"/>
                <w:kern w:val="0"/>
                <w:sz w:val="18"/>
                <w:szCs w:val="18"/>
              </w:rPr>
              <w:t>规上工业企业数量（个）</w:t>
            </w:r>
          </w:p>
        </w:tc>
        <w:tc>
          <w:tcPr>
            <w:tcW w:w="837"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kern w:val="0"/>
                <w:sz w:val="18"/>
                <w:szCs w:val="18"/>
              </w:rPr>
            </w:pPr>
            <w:r>
              <w:rPr>
                <w:rFonts w:hint="eastAsia"/>
                <w:kern w:val="0"/>
                <w:sz w:val="18"/>
                <w:szCs w:val="18"/>
              </w:rPr>
              <w:t>2</w:t>
            </w:r>
          </w:p>
        </w:tc>
        <w:tc>
          <w:tcPr>
            <w:tcW w:w="850"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kern w:val="0"/>
                <w:sz w:val="18"/>
                <w:szCs w:val="18"/>
              </w:rPr>
            </w:pPr>
            <w:r>
              <w:rPr>
                <w:rFonts w:hint="eastAsia"/>
                <w:kern w:val="0"/>
                <w:sz w:val="18"/>
                <w:szCs w:val="18"/>
              </w:rPr>
              <w:t>4</w:t>
            </w:r>
          </w:p>
        </w:tc>
        <w:tc>
          <w:tcPr>
            <w:tcW w:w="1125"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rFonts w:hint="eastAsia"/>
                <w:bCs/>
                <w:kern w:val="0"/>
                <w:sz w:val="18"/>
                <w:szCs w:val="18"/>
              </w:rPr>
              <w:t>[</w:t>
            </w:r>
            <w:r>
              <w:rPr>
                <w:bCs/>
                <w:kern w:val="0"/>
                <w:sz w:val="18"/>
                <w:szCs w:val="18"/>
              </w:rPr>
              <w:t>2]</w:t>
            </w:r>
          </w:p>
        </w:tc>
        <w:tc>
          <w:tcPr>
            <w:tcW w:w="870" w:type="dxa"/>
            <w:vAlign w:val="center"/>
          </w:tcPr>
          <w:p>
            <w:pPr>
              <w:widowControl/>
              <w:adjustRightInd w:val="0"/>
              <w:snapToGrid w:val="0"/>
              <w:spacing w:line="240" w:lineRule="auto"/>
              <w:ind w:firstLineChars="0" w:firstLine="0"/>
              <w:jc w:val="center"/>
              <w:rPr>
                <w:sz w:val="18"/>
                <w:szCs w:val="18"/>
              </w:rPr>
            </w:pPr>
          </w:p>
        </w:tc>
      </w:tr>
      <w:tr>
        <w:trPr>
          <w:trHeight w:val="397"/>
        </w:trPr>
        <w:tc>
          <w:tcPr>
            <w:tcW w:w="989" w:type="dxa"/>
            <w:vMerge w:val="restart"/>
            <w:vAlign w:val="center"/>
          </w:tcPr>
          <w:p>
            <w:pPr>
              <w:widowControl/>
              <w:adjustRightInd w:val="0"/>
              <w:snapToGrid w:val="0"/>
              <w:spacing w:line="240" w:lineRule="auto"/>
              <w:ind w:firstLineChars="0" w:firstLine="0"/>
              <w:jc w:val="center"/>
              <w:rPr>
                <w:bCs/>
                <w:kern w:val="0"/>
                <w:sz w:val="18"/>
                <w:szCs w:val="18"/>
              </w:rPr>
            </w:pPr>
            <w:r>
              <w:rPr>
                <w:rFonts w:hint="eastAsia"/>
                <w:bCs/>
                <w:kern w:val="0"/>
                <w:sz w:val="18"/>
                <w:szCs w:val="18"/>
              </w:rPr>
              <w:t>创新</w:t>
            </w:r>
          </w:p>
          <w:p>
            <w:pPr>
              <w:widowControl/>
              <w:adjustRightInd w:val="0"/>
              <w:snapToGrid w:val="0"/>
              <w:spacing w:line="240" w:lineRule="auto"/>
              <w:ind w:firstLineChars="0" w:firstLine="0"/>
              <w:jc w:val="center"/>
              <w:rPr>
                <w:bCs/>
                <w:kern w:val="0"/>
                <w:sz w:val="18"/>
                <w:szCs w:val="18"/>
              </w:rPr>
            </w:pPr>
            <w:r>
              <w:rPr>
                <w:rFonts w:hint="eastAsia"/>
                <w:bCs/>
                <w:kern w:val="0"/>
                <w:sz w:val="18"/>
                <w:szCs w:val="18"/>
              </w:rPr>
              <w:t>发展</w:t>
            </w:r>
          </w:p>
          <w:p>
            <w:pPr>
              <w:widowControl/>
              <w:adjustRightInd w:val="0"/>
              <w:snapToGrid w:val="0"/>
              <w:spacing w:line="240" w:lineRule="auto"/>
              <w:ind w:firstLineChars="0" w:firstLine="0"/>
              <w:jc w:val="center"/>
              <w:rPr>
                <w:bCs/>
                <w:kern w:val="0"/>
                <w:sz w:val="18"/>
                <w:szCs w:val="18"/>
              </w:rPr>
            </w:pPr>
            <w:r>
              <w:rPr>
                <w:rFonts w:hint="eastAsia"/>
                <w:bCs/>
                <w:kern w:val="0"/>
                <w:sz w:val="18"/>
                <w:szCs w:val="18"/>
              </w:rPr>
              <w:t>（</w:t>
            </w:r>
            <w:r>
              <w:rPr>
                <w:bCs/>
                <w:kern w:val="0"/>
                <w:sz w:val="18"/>
                <w:szCs w:val="18"/>
              </w:rPr>
              <w:t>2</w:t>
            </w:r>
            <w:r>
              <w:rPr>
                <w:rFonts w:hint="eastAsia"/>
                <w:bCs/>
                <w:kern w:val="0"/>
                <w:sz w:val="18"/>
                <w:szCs w:val="18"/>
              </w:rPr>
              <w:t>个）</w:t>
            </w:r>
          </w:p>
        </w:tc>
        <w:tc>
          <w:tcPr>
            <w:tcW w:w="3556"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rPr>
                <w:bCs/>
                <w:kern w:val="0"/>
                <w:sz w:val="18"/>
                <w:szCs w:val="18"/>
              </w:rPr>
            </w:pPr>
            <w:r>
              <w:rPr>
                <w:kern w:val="0"/>
                <w:sz w:val="18"/>
                <w:szCs w:val="18"/>
              </w:rPr>
              <w:t>8.</w:t>
            </w:r>
            <w:r>
              <w:rPr>
                <w:rFonts w:hint="eastAsia"/>
                <w:kern w:val="0"/>
                <w:sz w:val="18"/>
                <w:szCs w:val="18"/>
              </w:rPr>
              <w:t>全社会研发经费投入强度（</w:t>
            </w:r>
            <w:r>
              <w:rPr>
                <w:kern w:val="0"/>
                <w:sz w:val="18"/>
                <w:szCs w:val="18"/>
              </w:rPr>
              <w:t>%</w:t>
            </w:r>
            <w:r>
              <w:rPr>
                <w:rFonts w:hint="eastAsia"/>
                <w:kern w:val="0"/>
                <w:sz w:val="18"/>
                <w:szCs w:val="18"/>
              </w:rPr>
              <w:t>）</w:t>
            </w:r>
          </w:p>
        </w:tc>
        <w:tc>
          <w:tcPr>
            <w:tcW w:w="837"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rFonts w:hint="eastAsia"/>
                <w:kern w:val="0"/>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kern w:val="0"/>
                <w:sz w:val="18"/>
                <w:szCs w:val="18"/>
              </w:rPr>
              <w:t>1.2</w:t>
            </w:r>
          </w:p>
        </w:tc>
        <w:tc>
          <w:tcPr>
            <w:tcW w:w="1125"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bCs/>
                <w:kern w:val="0"/>
                <w:sz w:val="18"/>
                <w:szCs w:val="18"/>
              </w:rPr>
              <w:softHyphen/>
              <w:softHyphen/>
            </w:r>
            <w:r>
              <w:rPr>
                <w:rFonts w:hint="eastAsia"/>
                <w:kern w:val="0"/>
                <w:sz w:val="18"/>
                <w:szCs w:val="18"/>
              </w:rPr>
              <w:t>—</w:t>
            </w:r>
          </w:p>
        </w:tc>
        <w:tc>
          <w:tcPr>
            <w:tcW w:w="870" w:type="dxa"/>
            <w:vAlign w:val="center"/>
          </w:tcPr>
          <w:p>
            <w:pPr>
              <w:widowControl/>
              <w:adjustRightInd w:val="0"/>
              <w:snapToGrid w:val="0"/>
              <w:spacing w:line="240" w:lineRule="auto"/>
              <w:ind w:firstLineChars="0" w:firstLine="0"/>
              <w:jc w:val="center"/>
              <w:rPr>
                <w:bCs/>
                <w:kern w:val="0"/>
                <w:sz w:val="18"/>
                <w:szCs w:val="18"/>
              </w:rPr>
            </w:pPr>
            <w:r>
              <w:rPr>
                <w:rFonts w:hint="eastAsia"/>
                <w:sz w:val="18"/>
                <w:szCs w:val="18"/>
              </w:rPr>
              <w:t>预期</w:t>
            </w:r>
          </w:p>
        </w:tc>
      </w:tr>
      <w:tr>
        <w:trPr>
          <w:trHeight w:val="397"/>
        </w:trPr>
        <w:tc>
          <w:tcPr>
            <w:tcW w:w="989" w:type="dxa"/>
            <w:vMerge/>
            <w:vAlign w:val="center"/>
          </w:tcPr>
          <w:p/>
        </w:tc>
        <w:tc>
          <w:tcPr>
            <w:tcW w:w="3556"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rPr>
                <w:kern w:val="0"/>
                <w:sz w:val="18"/>
                <w:szCs w:val="18"/>
              </w:rPr>
            </w:pPr>
            <w:r>
              <w:rPr>
                <w:kern w:val="0"/>
                <w:sz w:val="18"/>
                <w:szCs w:val="18"/>
              </w:rPr>
              <w:t>9.</w:t>
            </w:r>
            <w:r>
              <w:rPr>
                <w:rFonts w:hint="eastAsia"/>
                <w:kern w:val="0"/>
                <w:sz w:val="18"/>
                <w:szCs w:val="18"/>
              </w:rPr>
              <w:t>每万人口高价值发明专利拥有量（件）</w:t>
            </w:r>
          </w:p>
        </w:tc>
        <w:tc>
          <w:tcPr>
            <w:tcW w:w="837"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kern w:val="0"/>
                <w:sz w:val="18"/>
                <w:szCs w:val="18"/>
              </w:rPr>
            </w:pPr>
            <w:r>
              <w:rPr>
                <w:kern w:val="0"/>
                <w:sz w:val="18"/>
                <w:szCs w:val="18"/>
              </w:rPr>
              <w:t>0.9</w:t>
            </w:r>
          </w:p>
        </w:tc>
        <w:tc>
          <w:tcPr>
            <w:tcW w:w="850"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kern w:val="0"/>
                <w:sz w:val="18"/>
                <w:szCs w:val="18"/>
              </w:rPr>
            </w:pPr>
            <w:r>
              <w:rPr>
                <w:kern w:val="0"/>
                <w:sz w:val="18"/>
                <w:szCs w:val="18"/>
              </w:rPr>
              <w:t>1.7</w:t>
            </w:r>
          </w:p>
        </w:tc>
        <w:tc>
          <w:tcPr>
            <w:tcW w:w="1125"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rFonts w:hint="eastAsia"/>
                <w:bCs/>
                <w:kern w:val="0"/>
                <w:sz w:val="18"/>
                <w:szCs w:val="18"/>
              </w:rPr>
              <w:t>[</w:t>
            </w:r>
            <w:r>
              <w:rPr>
                <w:bCs/>
                <w:kern w:val="0"/>
                <w:sz w:val="18"/>
                <w:szCs w:val="18"/>
              </w:rPr>
              <w:t>0.8]</w:t>
            </w:r>
          </w:p>
        </w:tc>
        <w:tc>
          <w:tcPr>
            <w:tcW w:w="870" w:type="dxa"/>
            <w:vAlign w:val="center"/>
          </w:tcPr>
          <w:p>
            <w:pPr>
              <w:widowControl/>
              <w:adjustRightInd w:val="0"/>
              <w:snapToGrid w:val="0"/>
              <w:spacing w:line="240" w:lineRule="auto"/>
              <w:ind w:firstLineChars="0" w:firstLine="0"/>
              <w:jc w:val="center"/>
              <w:rPr>
                <w:sz w:val="18"/>
                <w:szCs w:val="18"/>
              </w:rPr>
            </w:pPr>
            <w:r>
              <w:rPr>
                <w:rFonts w:hint="eastAsia"/>
                <w:kern w:val="0"/>
                <w:sz w:val="18"/>
                <w:szCs w:val="18"/>
              </w:rPr>
              <w:t>预期</w:t>
            </w:r>
          </w:p>
        </w:tc>
      </w:tr>
      <w:tr>
        <w:trPr>
          <w:trHeight w:val="397"/>
        </w:trPr>
        <w:tc>
          <w:tcPr>
            <w:tcW w:w="989" w:type="dxa"/>
            <w:vMerge w:val="restart"/>
            <w:vAlign w:val="center"/>
          </w:tcPr>
          <w:p>
            <w:pPr>
              <w:widowControl/>
              <w:adjustRightInd w:val="0"/>
              <w:snapToGrid w:val="0"/>
              <w:spacing w:line="240" w:lineRule="auto"/>
              <w:ind w:firstLineChars="0" w:firstLine="0"/>
              <w:jc w:val="center"/>
              <w:rPr>
                <w:bCs/>
                <w:kern w:val="0"/>
                <w:sz w:val="18"/>
                <w:szCs w:val="18"/>
              </w:rPr>
            </w:pPr>
            <w:r>
              <w:rPr>
                <w:rFonts w:hint="eastAsia"/>
                <w:bCs/>
                <w:kern w:val="0"/>
                <w:sz w:val="18"/>
                <w:szCs w:val="18"/>
              </w:rPr>
              <w:t>民生</w:t>
            </w:r>
          </w:p>
          <w:p>
            <w:pPr>
              <w:widowControl/>
              <w:adjustRightInd w:val="0"/>
              <w:snapToGrid w:val="0"/>
              <w:spacing w:line="240" w:lineRule="auto"/>
              <w:ind w:firstLineChars="0" w:firstLine="0"/>
              <w:jc w:val="center"/>
              <w:rPr>
                <w:bCs/>
                <w:kern w:val="0"/>
                <w:sz w:val="18"/>
                <w:szCs w:val="18"/>
              </w:rPr>
            </w:pPr>
            <w:r>
              <w:rPr>
                <w:rFonts w:hint="eastAsia"/>
                <w:bCs/>
                <w:kern w:val="0"/>
                <w:sz w:val="18"/>
                <w:szCs w:val="18"/>
              </w:rPr>
              <w:t>福祉</w:t>
            </w:r>
          </w:p>
          <w:p>
            <w:pPr>
              <w:widowControl/>
              <w:adjustRightInd w:val="0"/>
              <w:snapToGrid w:val="0"/>
              <w:spacing w:line="240" w:lineRule="auto"/>
              <w:ind w:firstLineChars="0" w:firstLine="0"/>
              <w:jc w:val="center"/>
              <w:rPr>
                <w:bCs/>
                <w:kern w:val="0"/>
                <w:sz w:val="18"/>
                <w:szCs w:val="18"/>
              </w:rPr>
            </w:pPr>
            <w:r>
              <w:rPr>
                <w:rFonts w:hint="eastAsia"/>
                <w:bCs/>
                <w:kern w:val="0"/>
                <w:sz w:val="18"/>
                <w:szCs w:val="18"/>
              </w:rPr>
              <w:t>（</w:t>
            </w:r>
            <w:r>
              <w:rPr>
                <w:bCs/>
                <w:kern w:val="0"/>
                <w:sz w:val="18"/>
                <w:szCs w:val="18"/>
              </w:rPr>
              <w:t>7</w:t>
            </w:r>
            <w:r>
              <w:rPr>
                <w:rFonts w:hint="eastAsia"/>
                <w:bCs/>
                <w:kern w:val="0"/>
                <w:sz w:val="18"/>
                <w:szCs w:val="18"/>
              </w:rPr>
              <w:t>个）</w:t>
            </w:r>
          </w:p>
        </w:tc>
        <w:tc>
          <w:tcPr>
            <w:tcW w:w="3556"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rPr>
                <w:bCs/>
                <w:kern w:val="0"/>
                <w:sz w:val="18"/>
                <w:szCs w:val="18"/>
              </w:rPr>
            </w:pPr>
            <w:r>
              <w:rPr>
                <w:kern w:val="0"/>
                <w:sz w:val="18"/>
                <w:szCs w:val="18"/>
              </w:rPr>
              <w:t>10.</w:t>
            </w:r>
            <w:r>
              <w:rPr>
                <w:rFonts w:hint="eastAsia"/>
                <w:kern w:val="0"/>
                <w:sz w:val="18"/>
                <w:szCs w:val="18"/>
              </w:rPr>
              <w:t>城镇居民人均可支配收入年均增速（</w:t>
            </w:r>
            <w:r>
              <w:rPr>
                <w:kern w:val="0"/>
                <w:sz w:val="18"/>
                <w:szCs w:val="18"/>
              </w:rPr>
              <w:t>%</w:t>
            </w:r>
            <w:r>
              <w:rPr>
                <w:rFonts w:hint="eastAsia"/>
                <w:kern w:val="0"/>
                <w:sz w:val="18"/>
                <w:szCs w:val="18"/>
              </w:rPr>
              <w:t>）</w:t>
            </w:r>
          </w:p>
        </w:tc>
        <w:tc>
          <w:tcPr>
            <w:tcW w:w="837"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kern w:val="0"/>
                <w:sz w:val="18"/>
                <w:szCs w:val="18"/>
              </w:rPr>
              <w:t>6.97</w:t>
            </w:r>
          </w:p>
        </w:tc>
        <w:tc>
          <w:tcPr>
            <w:tcW w:w="850"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kern w:val="0"/>
                <w:sz w:val="18"/>
                <w:szCs w:val="18"/>
              </w:rPr>
              <w:t>7</w:t>
            </w:r>
          </w:p>
        </w:tc>
        <w:tc>
          <w:tcPr>
            <w:tcW w:w="1125"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bCs/>
                <w:kern w:val="0"/>
                <w:sz w:val="18"/>
                <w:szCs w:val="18"/>
              </w:rPr>
              <w:t>7</w:t>
            </w:r>
          </w:p>
        </w:tc>
        <w:tc>
          <w:tcPr>
            <w:tcW w:w="870" w:type="dxa"/>
            <w:vAlign w:val="center"/>
          </w:tcPr>
          <w:p>
            <w:pPr>
              <w:widowControl/>
              <w:adjustRightInd w:val="0"/>
              <w:snapToGrid w:val="0"/>
              <w:spacing w:line="240" w:lineRule="auto"/>
              <w:ind w:firstLineChars="0" w:firstLine="0"/>
              <w:jc w:val="center"/>
              <w:rPr>
                <w:bCs/>
                <w:kern w:val="0"/>
                <w:sz w:val="18"/>
                <w:szCs w:val="18"/>
              </w:rPr>
            </w:pPr>
            <w:r>
              <w:rPr>
                <w:rFonts w:hint="eastAsia"/>
                <w:sz w:val="18"/>
                <w:szCs w:val="18"/>
              </w:rPr>
              <w:t>预期</w:t>
            </w:r>
          </w:p>
        </w:tc>
      </w:tr>
      <w:tr>
        <w:trPr>
          <w:trHeight w:val="397"/>
        </w:trPr>
        <w:tc>
          <w:tcPr>
            <w:tcW w:w="989" w:type="dxa"/>
            <w:vMerge/>
            <w:vAlign w:val="center"/>
          </w:tcPr>
          <w:p/>
        </w:tc>
        <w:tc>
          <w:tcPr>
            <w:tcW w:w="3556"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rPr>
                <w:bCs/>
                <w:kern w:val="0"/>
                <w:sz w:val="18"/>
                <w:szCs w:val="18"/>
              </w:rPr>
            </w:pPr>
            <w:r>
              <w:rPr>
                <w:kern w:val="0"/>
                <w:sz w:val="18"/>
                <w:szCs w:val="18"/>
              </w:rPr>
              <w:t>11.</w:t>
            </w:r>
            <w:r>
              <w:rPr>
                <w:rFonts w:hint="eastAsia"/>
                <w:kern w:val="0"/>
                <w:sz w:val="18"/>
                <w:szCs w:val="18"/>
              </w:rPr>
              <w:t>农村居民人均可支配收入年均增速（</w:t>
            </w:r>
            <w:r>
              <w:rPr>
                <w:kern w:val="0"/>
                <w:sz w:val="18"/>
                <w:szCs w:val="18"/>
              </w:rPr>
              <w:t>%</w:t>
            </w:r>
            <w:r>
              <w:rPr>
                <w:rFonts w:hint="eastAsia"/>
                <w:kern w:val="0"/>
                <w:sz w:val="18"/>
                <w:szCs w:val="18"/>
              </w:rPr>
              <w:t>）</w:t>
            </w:r>
          </w:p>
        </w:tc>
        <w:tc>
          <w:tcPr>
            <w:tcW w:w="837"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kern w:val="0"/>
                <w:sz w:val="18"/>
                <w:szCs w:val="18"/>
              </w:rPr>
              <w:t>8.52</w:t>
            </w:r>
          </w:p>
        </w:tc>
        <w:tc>
          <w:tcPr>
            <w:tcW w:w="850"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kern w:val="0"/>
                <w:sz w:val="18"/>
                <w:szCs w:val="18"/>
              </w:rPr>
              <w:t>8</w:t>
            </w:r>
          </w:p>
        </w:tc>
        <w:tc>
          <w:tcPr>
            <w:tcW w:w="1125"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bCs/>
                <w:kern w:val="0"/>
                <w:sz w:val="18"/>
                <w:szCs w:val="18"/>
              </w:rPr>
              <w:t>8</w:t>
            </w:r>
          </w:p>
        </w:tc>
        <w:tc>
          <w:tcPr>
            <w:tcW w:w="870" w:type="dxa"/>
            <w:vAlign w:val="center"/>
          </w:tcPr>
          <w:p>
            <w:pPr>
              <w:widowControl/>
              <w:adjustRightInd w:val="0"/>
              <w:snapToGrid w:val="0"/>
              <w:spacing w:line="240" w:lineRule="auto"/>
              <w:ind w:firstLineChars="0" w:firstLine="0"/>
              <w:jc w:val="center"/>
              <w:rPr>
                <w:bCs/>
                <w:kern w:val="0"/>
                <w:sz w:val="18"/>
                <w:szCs w:val="18"/>
              </w:rPr>
            </w:pPr>
            <w:r>
              <w:rPr>
                <w:rFonts w:hint="eastAsia"/>
                <w:sz w:val="18"/>
                <w:szCs w:val="18"/>
              </w:rPr>
              <w:t>预期</w:t>
            </w:r>
          </w:p>
        </w:tc>
      </w:tr>
      <w:tr>
        <w:trPr>
          <w:trHeight w:val="397"/>
        </w:trPr>
        <w:tc>
          <w:tcPr>
            <w:tcW w:w="989" w:type="dxa"/>
            <w:vMerge/>
            <w:vAlign w:val="center"/>
          </w:tcPr>
          <w:p/>
        </w:tc>
        <w:tc>
          <w:tcPr>
            <w:tcW w:w="3556"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rPr>
                <w:bCs/>
                <w:kern w:val="0"/>
                <w:sz w:val="18"/>
                <w:szCs w:val="18"/>
              </w:rPr>
            </w:pPr>
            <w:r>
              <w:rPr>
                <w:kern w:val="0"/>
                <w:sz w:val="18"/>
                <w:szCs w:val="18"/>
              </w:rPr>
              <w:t>12.</w:t>
            </w:r>
            <w:r>
              <w:rPr>
                <w:rFonts w:hint="eastAsia"/>
                <w:kern w:val="0"/>
                <w:sz w:val="18"/>
                <w:szCs w:val="18"/>
              </w:rPr>
              <w:t>城镇调查失业率（</w:t>
            </w:r>
            <w:r>
              <w:rPr>
                <w:kern w:val="0"/>
                <w:sz w:val="18"/>
                <w:szCs w:val="18"/>
              </w:rPr>
              <w:t>%</w:t>
            </w:r>
            <w:r>
              <w:rPr>
                <w:rFonts w:hint="eastAsia"/>
                <w:kern w:val="0"/>
                <w:sz w:val="18"/>
                <w:szCs w:val="18"/>
              </w:rPr>
              <w:t>）</w:t>
            </w:r>
          </w:p>
        </w:tc>
        <w:tc>
          <w:tcPr>
            <w:tcW w:w="837"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rFonts w:hint="eastAsia"/>
                <w:kern w:val="0"/>
                <w:sz w:val="18"/>
                <w:szCs w:val="18"/>
              </w:rPr>
              <w:t>≤</w:t>
            </w:r>
            <w:r>
              <w:rPr>
                <w:kern w:val="0"/>
                <w:sz w:val="18"/>
                <w:szCs w:val="18"/>
              </w:rPr>
              <w:t>5</w:t>
            </w:r>
          </w:p>
        </w:tc>
        <w:tc>
          <w:tcPr>
            <w:tcW w:w="850"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rFonts w:hint="eastAsia"/>
                <w:kern w:val="0"/>
                <w:sz w:val="18"/>
                <w:szCs w:val="18"/>
              </w:rPr>
              <w:t>≤</w:t>
            </w:r>
            <w:r>
              <w:rPr>
                <w:kern w:val="0"/>
                <w:sz w:val="18"/>
                <w:szCs w:val="18"/>
              </w:rPr>
              <w:t>5</w:t>
            </w:r>
          </w:p>
        </w:tc>
        <w:tc>
          <w:tcPr>
            <w:tcW w:w="1125"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rFonts w:hint="eastAsia"/>
                <w:kern w:val="0"/>
                <w:sz w:val="18"/>
                <w:szCs w:val="18"/>
              </w:rPr>
              <w:t>—</w:t>
            </w:r>
          </w:p>
        </w:tc>
        <w:tc>
          <w:tcPr>
            <w:tcW w:w="870" w:type="dxa"/>
            <w:vAlign w:val="center"/>
          </w:tcPr>
          <w:p>
            <w:pPr>
              <w:widowControl/>
              <w:adjustRightInd w:val="0"/>
              <w:snapToGrid w:val="0"/>
              <w:spacing w:line="240" w:lineRule="auto"/>
              <w:ind w:firstLineChars="0" w:firstLine="0"/>
              <w:jc w:val="center"/>
              <w:rPr>
                <w:bCs/>
                <w:kern w:val="0"/>
                <w:sz w:val="18"/>
                <w:szCs w:val="18"/>
              </w:rPr>
            </w:pPr>
            <w:r>
              <w:rPr>
                <w:rFonts w:hint="eastAsia"/>
                <w:sz w:val="18"/>
                <w:szCs w:val="18"/>
              </w:rPr>
              <w:t>预期</w:t>
            </w:r>
          </w:p>
        </w:tc>
      </w:tr>
      <w:tr>
        <w:trPr>
          <w:trHeight w:val="397"/>
        </w:trPr>
        <w:tc>
          <w:tcPr>
            <w:tcW w:w="989" w:type="dxa"/>
            <w:vMerge/>
            <w:vAlign w:val="center"/>
          </w:tcPr>
          <w:p/>
        </w:tc>
        <w:tc>
          <w:tcPr>
            <w:tcW w:w="3556"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rPr>
                <w:bCs/>
                <w:kern w:val="0"/>
                <w:sz w:val="18"/>
                <w:szCs w:val="18"/>
              </w:rPr>
            </w:pPr>
            <w:r>
              <w:rPr>
                <w:kern w:val="0"/>
                <w:sz w:val="18"/>
                <w:szCs w:val="18"/>
              </w:rPr>
              <w:t>13.</w:t>
            </w:r>
            <w:r>
              <w:rPr>
                <w:rFonts w:hint="eastAsia"/>
                <w:kern w:val="0"/>
                <w:sz w:val="18"/>
                <w:szCs w:val="18"/>
              </w:rPr>
              <w:t>劳动年龄人口平均受教育年限（年）</w:t>
            </w:r>
          </w:p>
        </w:tc>
        <w:tc>
          <w:tcPr>
            <w:tcW w:w="837"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kern w:val="0"/>
                <w:sz w:val="18"/>
                <w:szCs w:val="18"/>
              </w:rPr>
              <w:t>10.7</w:t>
            </w:r>
          </w:p>
        </w:tc>
        <w:tc>
          <w:tcPr>
            <w:tcW w:w="850"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kern w:val="0"/>
                <w:sz w:val="18"/>
                <w:szCs w:val="18"/>
              </w:rPr>
              <w:t>11.2</w:t>
            </w:r>
          </w:p>
        </w:tc>
        <w:tc>
          <w:tcPr>
            <w:tcW w:w="1125"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rFonts w:hint="eastAsia"/>
                <w:bCs/>
                <w:kern w:val="0"/>
                <w:sz w:val="18"/>
                <w:szCs w:val="18"/>
              </w:rPr>
              <w:t>[</w:t>
            </w:r>
            <w:r>
              <w:rPr>
                <w:bCs/>
                <w:kern w:val="0"/>
                <w:sz w:val="18"/>
                <w:szCs w:val="18"/>
              </w:rPr>
              <w:t>0.5]</w:t>
            </w:r>
          </w:p>
        </w:tc>
        <w:tc>
          <w:tcPr>
            <w:tcW w:w="870" w:type="dxa"/>
            <w:vAlign w:val="center"/>
          </w:tcPr>
          <w:p>
            <w:pPr>
              <w:widowControl/>
              <w:adjustRightInd w:val="0"/>
              <w:snapToGrid w:val="0"/>
              <w:spacing w:line="240" w:lineRule="auto"/>
              <w:ind w:firstLineChars="0" w:firstLine="0"/>
              <w:jc w:val="center"/>
              <w:rPr>
                <w:bCs/>
                <w:kern w:val="0"/>
                <w:sz w:val="18"/>
                <w:szCs w:val="18"/>
              </w:rPr>
            </w:pPr>
            <w:r>
              <w:rPr>
                <w:rFonts w:hint="eastAsia"/>
                <w:sz w:val="18"/>
                <w:szCs w:val="18"/>
              </w:rPr>
              <w:t>约束</w:t>
            </w:r>
          </w:p>
        </w:tc>
      </w:tr>
      <w:tr>
        <w:trPr>
          <w:trHeight w:val="397"/>
        </w:trPr>
        <w:tc>
          <w:tcPr>
            <w:tcW w:w="989" w:type="dxa"/>
            <w:vMerge/>
            <w:vAlign w:val="center"/>
          </w:tcPr>
          <w:p/>
        </w:tc>
        <w:tc>
          <w:tcPr>
            <w:tcW w:w="3556"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rPr>
                <w:bCs/>
                <w:kern w:val="0"/>
                <w:sz w:val="18"/>
                <w:szCs w:val="18"/>
              </w:rPr>
            </w:pPr>
            <w:r>
              <w:rPr>
                <w:kern w:val="0"/>
                <w:sz w:val="18"/>
                <w:szCs w:val="18"/>
              </w:rPr>
              <w:t>14.</w:t>
            </w:r>
            <w:r>
              <w:rPr>
                <w:rFonts w:hint="eastAsia"/>
                <w:kern w:val="0"/>
                <w:sz w:val="18"/>
                <w:szCs w:val="18"/>
              </w:rPr>
              <w:t>每千人拥有执业（助理）医师数（位）</w:t>
            </w:r>
          </w:p>
        </w:tc>
        <w:tc>
          <w:tcPr>
            <w:tcW w:w="837"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kern w:val="0"/>
                <w:sz w:val="18"/>
                <w:szCs w:val="18"/>
              </w:rPr>
              <w:t>2.8</w:t>
            </w:r>
          </w:p>
        </w:tc>
        <w:tc>
          <w:tcPr>
            <w:tcW w:w="850"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kern w:val="0"/>
                <w:sz w:val="18"/>
                <w:szCs w:val="18"/>
              </w:rPr>
              <w:t>3.3</w:t>
            </w:r>
          </w:p>
        </w:tc>
        <w:tc>
          <w:tcPr>
            <w:tcW w:w="1125"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rFonts w:hint="eastAsia"/>
                <w:bCs/>
                <w:kern w:val="0"/>
                <w:sz w:val="18"/>
                <w:szCs w:val="18"/>
              </w:rPr>
              <w:t>[</w:t>
            </w:r>
            <w:r>
              <w:rPr>
                <w:bCs/>
                <w:kern w:val="0"/>
                <w:sz w:val="18"/>
                <w:szCs w:val="18"/>
              </w:rPr>
              <w:t>0.5]</w:t>
            </w:r>
          </w:p>
        </w:tc>
        <w:tc>
          <w:tcPr>
            <w:tcW w:w="870" w:type="dxa"/>
            <w:vAlign w:val="center"/>
          </w:tcPr>
          <w:p>
            <w:pPr>
              <w:widowControl/>
              <w:adjustRightInd w:val="0"/>
              <w:snapToGrid w:val="0"/>
              <w:spacing w:line="240" w:lineRule="auto"/>
              <w:ind w:firstLineChars="0" w:firstLine="0"/>
              <w:jc w:val="center"/>
              <w:rPr>
                <w:bCs/>
                <w:kern w:val="0"/>
                <w:sz w:val="18"/>
                <w:szCs w:val="18"/>
              </w:rPr>
            </w:pPr>
            <w:r>
              <w:rPr>
                <w:rFonts w:hint="eastAsia"/>
                <w:sz w:val="18"/>
                <w:szCs w:val="18"/>
              </w:rPr>
              <w:t>预期</w:t>
            </w:r>
          </w:p>
        </w:tc>
      </w:tr>
      <w:tr>
        <w:trPr>
          <w:trHeight w:val="397"/>
        </w:trPr>
        <w:tc>
          <w:tcPr>
            <w:tcW w:w="989" w:type="dxa"/>
            <w:vMerge/>
            <w:vAlign w:val="center"/>
          </w:tcPr>
          <w:p/>
        </w:tc>
        <w:tc>
          <w:tcPr>
            <w:tcW w:w="3556"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rPr>
                <w:bCs/>
                <w:kern w:val="0"/>
                <w:sz w:val="18"/>
                <w:szCs w:val="18"/>
              </w:rPr>
            </w:pPr>
            <w:r>
              <w:rPr>
                <w:kern w:val="0"/>
                <w:sz w:val="18"/>
                <w:szCs w:val="18"/>
              </w:rPr>
              <w:t>15.</w:t>
            </w:r>
            <w:r>
              <w:rPr>
                <w:rFonts w:hint="eastAsia"/>
                <w:kern w:val="0"/>
                <w:sz w:val="18"/>
                <w:szCs w:val="18"/>
              </w:rPr>
              <w:t>学龄前儿童入园率（</w:t>
            </w:r>
            <w:r>
              <w:rPr>
                <w:kern w:val="0"/>
                <w:sz w:val="18"/>
                <w:szCs w:val="18"/>
              </w:rPr>
              <w:t>%</w:t>
            </w:r>
            <w:r>
              <w:rPr>
                <w:rFonts w:hint="eastAsia"/>
                <w:kern w:val="0"/>
                <w:sz w:val="18"/>
                <w:szCs w:val="18"/>
              </w:rPr>
              <w:t>）</w:t>
            </w:r>
          </w:p>
        </w:tc>
        <w:tc>
          <w:tcPr>
            <w:tcW w:w="837"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kern w:val="0"/>
                <w:sz w:val="18"/>
                <w:szCs w:val="18"/>
              </w:rPr>
              <w:t>92.47</w:t>
            </w:r>
          </w:p>
        </w:tc>
        <w:tc>
          <w:tcPr>
            <w:tcW w:w="850"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kern w:val="0"/>
                <w:sz w:val="18"/>
                <w:szCs w:val="18"/>
              </w:rPr>
              <w:t xml:space="preserve">93 </w:t>
            </w:r>
          </w:p>
        </w:tc>
        <w:tc>
          <w:tcPr>
            <w:tcW w:w="1125"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rFonts w:hint="eastAsia"/>
                <w:kern w:val="0"/>
                <w:sz w:val="18"/>
                <w:szCs w:val="18"/>
              </w:rPr>
              <w:t>—</w:t>
            </w:r>
          </w:p>
        </w:tc>
        <w:tc>
          <w:tcPr>
            <w:tcW w:w="870" w:type="dxa"/>
            <w:vAlign w:val="center"/>
          </w:tcPr>
          <w:p>
            <w:pPr>
              <w:widowControl/>
              <w:adjustRightInd w:val="0"/>
              <w:snapToGrid w:val="0"/>
              <w:spacing w:line="240" w:lineRule="auto"/>
              <w:ind w:firstLineChars="0" w:firstLine="0"/>
              <w:jc w:val="center"/>
              <w:rPr>
                <w:bCs/>
                <w:kern w:val="0"/>
                <w:sz w:val="18"/>
                <w:szCs w:val="18"/>
              </w:rPr>
            </w:pPr>
            <w:r>
              <w:rPr>
                <w:rFonts w:hint="eastAsia"/>
                <w:sz w:val="18"/>
                <w:szCs w:val="18"/>
              </w:rPr>
              <w:t>预期</w:t>
            </w:r>
          </w:p>
        </w:tc>
      </w:tr>
      <w:tr>
        <w:trPr>
          <w:trHeight w:val="397"/>
        </w:trPr>
        <w:tc>
          <w:tcPr>
            <w:tcW w:w="989" w:type="dxa"/>
            <w:vMerge/>
            <w:vAlign w:val="center"/>
          </w:tcPr>
          <w:p/>
        </w:tc>
        <w:tc>
          <w:tcPr>
            <w:tcW w:w="3556"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rPr>
                <w:bCs/>
                <w:kern w:val="0"/>
                <w:sz w:val="18"/>
                <w:szCs w:val="18"/>
              </w:rPr>
            </w:pPr>
            <w:r>
              <w:rPr>
                <w:kern w:val="0"/>
                <w:sz w:val="18"/>
                <w:szCs w:val="18"/>
              </w:rPr>
              <w:t>16.</w:t>
            </w:r>
            <w:r>
              <w:rPr>
                <w:rFonts w:hint="eastAsia"/>
                <w:kern w:val="0"/>
                <w:sz w:val="18"/>
                <w:szCs w:val="18"/>
              </w:rPr>
              <w:t>人均预期寿命（岁）</w:t>
            </w:r>
          </w:p>
        </w:tc>
        <w:tc>
          <w:tcPr>
            <w:tcW w:w="837"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kern w:val="0"/>
                <w:sz w:val="18"/>
                <w:szCs w:val="18"/>
              </w:rPr>
              <w:t>72.5</w:t>
            </w:r>
          </w:p>
        </w:tc>
        <w:tc>
          <w:tcPr>
            <w:tcW w:w="850"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kern w:val="0"/>
                <w:sz w:val="18"/>
                <w:szCs w:val="18"/>
              </w:rPr>
              <w:t>73.5</w:t>
            </w:r>
          </w:p>
        </w:tc>
        <w:tc>
          <w:tcPr>
            <w:tcW w:w="1125"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rFonts w:hint="eastAsia"/>
                <w:bCs/>
                <w:kern w:val="0"/>
                <w:sz w:val="18"/>
                <w:szCs w:val="18"/>
              </w:rPr>
              <w:t>[</w:t>
            </w:r>
            <w:r>
              <w:rPr>
                <w:bCs/>
                <w:kern w:val="0"/>
                <w:sz w:val="18"/>
                <w:szCs w:val="18"/>
              </w:rPr>
              <w:t>1.0]</w:t>
            </w:r>
          </w:p>
        </w:tc>
        <w:tc>
          <w:tcPr>
            <w:tcW w:w="870" w:type="dxa"/>
            <w:vAlign w:val="center"/>
          </w:tcPr>
          <w:p>
            <w:pPr>
              <w:widowControl/>
              <w:adjustRightInd w:val="0"/>
              <w:snapToGrid w:val="0"/>
              <w:spacing w:line="240" w:lineRule="auto"/>
              <w:ind w:firstLineChars="0" w:firstLine="0"/>
              <w:jc w:val="center"/>
              <w:rPr>
                <w:bCs/>
                <w:kern w:val="0"/>
                <w:sz w:val="18"/>
                <w:szCs w:val="18"/>
              </w:rPr>
            </w:pPr>
            <w:r>
              <w:rPr>
                <w:rFonts w:hint="eastAsia"/>
                <w:sz w:val="18"/>
                <w:szCs w:val="18"/>
              </w:rPr>
              <w:t>预期</w:t>
            </w:r>
          </w:p>
        </w:tc>
      </w:tr>
      <w:tr>
        <w:trPr>
          <w:trHeight w:val="397"/>
        </w:trPr>
        <w:tc>
          <w:tcPr>
            <w:tcW w:w="989" w:type="dxa"/>
            <w:vMerge w:val="restart"/>
            <w:vAlign w:val="center"/>
          </w:tcPr>
          <w:p>
            <w:pPr>
              <w:widowControl/>
              <w:adjustRightInd w:val="0"/>
              <w:snapToGrid w:val="0"/>
              <w:spacing w:line="240" w:lineRule="auto"/>
              <w:ind w:firstLineChars="0" w:firstLine="0"/>
              <w:jc w:val="center"/>
              <w:rPr>
                <w:bCs/>
                <w:kern w:val="0"/>
                <w:sz w:val="18"/>
                <w:szCs w:val="18"/>
              </w:rPr>
            </w:pPr>
            <w:r>
              <w:rPr>
                <w:rFonts w:hint="eastAsia"/>
                <w:bCs/>
                <w:kern w:val="0"/>
                <w:sz w:val="18"/>
                <w:szCs w:val="18"/>
              </w:rPr>
              <w:t>生态</w:t>
            </w:r>
          </w:p>
          <w:p>
            <w:pPr>
              <w:widowControl/>
              <w:adjustRightInd w:val="0"/>
              <w:snapToGrid w:val="0"/>
              <w:spacing w:line="240" w:lineRule="auto"/>
              <w:ind w:firstLineChars="0" w:firstLine="0"/>
              <w:jc w:val="center"/>
              <w:rPr>
                <w:bCs/>
                <w:kern w:val="0"/>
                <w:sz w:val="18"/>
                <w:szCs w:val="18"/>
              </w:rPr>
            </w:pPr>
            <w:r>
              <w:rPr>
                <w:rFonts w:hint="eastAsia"/>
                <w:bCs/>
                <w:kern w:val="0"/>
                <w:sz w:val="18"/>
                <w:szCs w:val="18"/>
              </w:rPr>
              <w:t>发展</w:t>
            </w:r>
          </w:p>
          <w:p>
            <w:pPr>
              <w:widowControl/>
              <w:adjustRightInd w:val="0"/>
              <w:snapToGrid w:val="0"/>
              <w:spacing w:line="240" w:lineRule="auto"/>
              <w:ind w:firstLineChars="0" w:firstLine="0"/>
              <w:jc w:val="center"/>
              <w:rPr>
                <w:bCs/>
                <w:kern w:val="0"/>
                <w:sz w:val="18"/>
                <w:szCs w:val="18"/>
              </w:rPr>
            </w:pPr>
            <w:r>
              <w:rPr>
                <w:rFonts w:hint="eastAsia"/>
                <w:bCs/>
                <w:kern w:val="0"/>
                <w:sz w:val="18"/>
                <w:szCs w:val="18"/>
              </w:rPr>
              <w:t>（</w:t>
            </w:r>
            <w:r>
              <w:rPr>
                <w:bCs/>
                <w:kern w:val="0"/>
                <w:sz w:val="18"/>
                <w:szCs w:val="18"/>
              </w:rPr>
              <w:t>8</w:t>
            </w:r>
            <w:r>
              <w:rPr>
                <w:rFonts w:hint="eastAsia"/>
                <w:bCs/>
                <w:kern w:val="0"/>
                <w:sz w:val="18"/>
                <w:szCs w:val="18"/>
              </w:rPr>
              <w:t>个）</w:t>
            </w:r>
          </w:p>
        </w:tc>
        <w:tc>
          <w:tcPr>
            <w:tcW w:w="3556"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rPr>
                <w:bCs/>
                <w:kern w:val="0"/>
                <w:sz w:val="18"/>
                <w:szCs w:val="18"/>
              </w:rPr>
            </w:pPr>
            <w:r>
              <w:rPr>
                <w:kern w:val="0"/>
                <w:sz w:val="18"/>
                <w:szCs w:val="18"/>
              </w:rPr>
              <w:t>17.</w:t>
            </w:r>
            <w:r>
              <w:rPr>
                <w:rFonts w:hint="eastAsia"/>
                <w:kern w:val="0"/>
                <w:sz w:val="18"/>
                <w:szCs w:val="18"/>
              </w:rPr>
              <w:t>单位</w:t>
            </w:r>
            <w:r>
              <w:rPr>
                <w:kern w:val="0"/>
                <w:sz w:val="18"/>
                <w:szCs w:val="18"/>
              </w:rPr>
              <w:t>GDP</w:t>
            </w:r>
            <w:r>
              <w:rPr>
                <w:rFonts w:hint="eastAsia"/>
                <w:kern w:val="0"/>
                <w:sz w:val="18"/>
                <w:szCs w:val="18"/>
              </w:rPr>
              <w:t>能源消耗降幅（</w:t>
            </w:r>
            <w:r>
              <w:rPr>
                <w:kern w:val="0"/>
                <w:sz w:val="18"/>
                <w:szCs w:val="18"/>
              </w:rPr>
              <w:t>%</w:t>
            </w:r>
            <w:r>
              <w:rPr>
                <w:rFonts w:hint="eastAsia"/>
                <w:kern w:val="0"/>
                <w:sz w:val="18"/>
                <w:szCs w:val="18"/>
              </w:rPr>
              <w:t>）</w:t>
            </w:r>
          </w:p>
        </w:tc>
        <w:tc>
          <w:tcPr>
            <w:tcW w:w="837"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rFonts w:hint="eastAsia"/>
                <w:kern w:val="0"/>
                <w:sz w:val="18"/>
                <w:szCs w:val="18"/>
              </w:rPr>
              <w:t>核定范围内</w:t>
            </w:r>
          </w:p>
        </w:tc>
        <w:tc>
          <w:tcPr>
            <w:tcW w:w="850"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rFonts w:hint="eastAsia"/>
                <w:kern w:val="0"/>
                <w:sz w:val="18"/>
                <w:szCs w:val="18"/>
              </w:rPr>
              <w:t>核定范围内</w:t>
            </w:r>
          </w:p>
        </w:tc>
        <w:tc>
          <w:tcPr>
            <w:tcW w:w="1125"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rFonts w:hint="eastAsia"/>
                <w:kern w:val="0"/>
                <w:sz w:val="18"/>
                <w:szCs w:val="18"/>
              </w:rPr>
              <w:t>—</w:t>
            </w:r>
          </w:p>
        </w:tc>
        <w:tc>
          <w:tcPr>
            <w:tcW w:w="870" w:type="dxa"/>
            <w:vAlign w:val="center"/>
          </w:tcPr>
          <w:p>
            <w:pPr>
              <w:widowControl/>
              <w:adjustRightInd w:val="0"/>
              <w:snapToGrid w:val="0"/>
              <w:spacing w:line="240" w:lineRule="auto"/>
              <w:ind w:firstLineChars="0" w:firstLine="0"/>
              <w:jc w:val="center"/>
              <w:rPr>
                <w:bCs/>
                <w:kern w:val="0"/>
                <w:sz w:val="18"/>
                <w:szCs w:val="18"/>
              </w:rPr>
            </w:pPr>
            <w:r>
              <w:rPr>
                <w:rFonts w:hint="eastAsia"/>
                <w:sz w:val="18"/>
                <w:szCs w:val="18"/>
              </w:rPr>
              <w:t>约束</w:t>
            </w:r>
          </w:p>
        </w:tc>
      </w:tr>
      <w:tr>
        <w:trPr>
          <w:trHeight w:val="397"/>
        </w:trPr>
        <w:tc>
          <w:tcPr>
            <w:tcW w:w="989" w:type="dxa"/>
            <w:vMerge/>
            <w:vAlign w:val="center"/>
          </w:tcPr>
          <w:p/>
        </w:tc>
        <w:tc>
          <w:tcPr>
            <w:tcW w:w="3556"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rPr>
                <w:bCs/>
                <w:kern w:val="0"/>
                <w:sz w:val="18"/>
                <w:szCs w:val="18"/>
              </w:rPr>
            </w:pPr>
            <w:r>
              <w:rPr>
                <w:kern w:val="0"/>
                <w:sz w:val="18"/>
                <w:szCs w:val="18"/>
              </w:rPr>
              <w:t>18.</w:t>
            </w:r>
            <w:r>
              <w:rPr>
                <w:rFonts w:hint="eastAsia"/>
                <w:kern w:val="0"/>
                <w:sz w:val="18"/>
                <w:szCs w:val="18"/>
              </w:rPr>
              <w:t>单位</w:t>
            </w:r>
            <w:r>
              <w:rPr>
                <w:kern w:val="0"/>
                <w:sz w:val="18"/>
                <w:szCs w:val="18"/>
              </w:rPr>
              <w:t>GDP</w:t>
            </w:r>
            <w:r>
              <w:rPr>
                <w:rFonts w:hint="eastAsia"/>
                <w:kern w:val="0"/>
                <w:sz w:val="18"/>
                <w:szCs w:val="18"/>
              </w:rPr>
              <w:t>二氧化碳排放降幅（</w:t>
            </w:r>
            <w:r>
              <w:rPr>
                <w:kern w:val="0"/>
                <w:sz w:val="18"/>
                <w:szCs w:val="18"/>
              </w:rPr>
              <w:t>%</w:t>
            </w:r>
            <w:r>
              <w:rPr>
                <w:rFonts w:hint="eastAsia"/>
                <w:kern w:val="0"/>
                <w:sz w:val="18"/>
                <w:szCs w:val="18"/>
              </w:rPr>
              <w:t>）</w:t>
            </w:r>
          </w:p>
        </w:tc>
        <w:tc>
          <w:tcPr>
            <w:tcW w:w="837"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rFonts w:hint="eastAsia"/>
                <w:kern w:val="0"/>
                <w:sz w:val="18"/>
                <w:szCs w:val="18"/>
              </w:rPr>
              <w:t>核定范围内</w:t>
            </w:r>
          </w:p>
        </w:tc>
        <w:tc>
          <w:tcPr>
            <w:tcW w:w="850"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rFonts w:hint="eastAsia"/>
                <w:kern w:val="0"/>
                <w:sz w:val="18"/>
                <w:szCs w:val="18"/>
              </w:rPr>
              <w:t>核定范围内</w:t>
            </w:r>
          </w:p>
        </w:tc>
        <w:tc>
          <w:tcPr>
            <w:tcW w:w="1125"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rFonts w:hint="eastAsia"/>
                <w:kern w:val="0"/>
                <w:sz w:val="18"/>
                <w:szCs w:val="18"/>
              </w:rPr>
              <w:t>—</w:t>
            </w:r>
          </w:p>
        </w:tc>
        <w:tc>
          <w:tcPr>
            <w:tcW w:w="870" w:type="dxa"/>
            <w:vAlign w:val="center"/>
          </w:tcPr>
          <w:p>
            <w:pPr>
              <w:widowControl/>
              <w:adjustRightInd w:val="0"/>
              <w:snapToGrid w:val="0"/>
              <w:spacing w:line="240" w:lineRule="auto"/>
              <w:ind w:firstLineChars="0" w:firstLine="0"/>
              <w:jc w:val="center"/>
              <w:rPr>
                <w:bCs/>
                <w:kern w:val="0"/>
                <w:sz w:val="18"/>
                <w:szCs w:val="18"/>
              </w:rPr>
            </w:pPr>
            <w:r>
              <w:rPr>
                <w:rFonts w:hint="eastAsia"/>
                <w:sz w:val="18"/>
                <w:szCs w:val="18"/>
              </w:rPr>
              <w:t>约束</w:t>
            </w:r>
          </w:p>
        </w:tc>
      </w:tr>
      <w:tr>
        <w:trPr>
          <w:trHeight w:val="397"/>
        </w:trPr>
        <w:tc>
          <w:tcPr>
            <w:tcW w:w="989" w:type="dxa"/>
            <w:vMerge/>
            <w:vAlign w:val="center"/>
          </w:tcPr>
          <w:p/>
        </w:tc>
        <w:tc>
          <w:tcPr>
            <w:tcW w:w="3556" w:type="dxa"/>
            <w:tcBorders>
              <w:top w:val="single" w:sz="4" w:space="0" w:color="000000"/>
              <w:left w:val="single" w:sz="4" w:space="0" w:color="000000"/>
              <w:bottom w:val="single" w:sz="4" w:space="0" w:color="000000"/>
              <w:right w:val="single" w:sz="4" w:space="0" w:color="000000"/>
            </w:tcBorders>
            <w:vAlign w:val="center"/>
          </w:tcPr>
          <w:p>
            <w:pPr>
              <w:adjustRightInd w:val="0"/>
              <w:snapToGrid w:val="0"/>
              <w:spacing w:line="240" w:lineRule="auto"/>
              <w:ind w:firstLineChars="0" w:firstLine="0"/>
              <w:rPr>
                <w:bCs/>
                <w:kern w:val="0"/>
                <w:sz w:val="18"/>
                <w:szCs w:val="18"/>
              </w:rPr>
            </w:pPr>
            <w:r>
              <w:rPr>
                <w:kern w:val="0"/>
                <w:sz w:val="18"/>
                <w:szCs w:val="18"/>
              </w:rPr>
              <w:t>19.</w:t>
            </w:r>
            <w:r>
              <w:rPr>
                <w:rFonts w:hint="eastAsia"/>
                <w:kern w:val="0"/>
                <w:sz w:val="18"/>
                <w:szCs w:val="18"/>
              </w:rPr>
              <w:t>城市空气质量优良天数比例（</w:t>
            </w:r>
            <w:r>
              <w:rPr>
                <w:kern w:val="0"/>
                <w:sz w:val="18"/>
                <w:szCs w:val="18"/>
              </w:rPr>
              <w:t>%</w:t>
            </w:r>
            <w:r>
              <w:rPr>
                <w:rFonts w:hint="eastAsia"/>
                <w:kern w:val="0"/>
                <w:sz w:val="18"/>
                <w:szCs w:val="18"/>
              </w:rPr>
              <w:t>）</w:t>
            </w:r>
          </w:p>
        </w:tc>
        <w:tc>
          <w:tcPr>
            <w:tcW w:w="837"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kern w:val="0"/>
                <w:sz w:val="18"/>
                <w:szCs w:val="18"/>
              </w:rPr>
              <w:t>99</w:t>
            </w:r>
          </w:p>
        </w:tc>
        <w:tc>
          <w:tcPr>
            <w:tcW w:w="850"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rFonts w:hint="eastAsia"/>
                <w:kern w:val="0"/>
                <w:sz w:val="18"/>
                <w:szCs w:val="18"/>
              </w:rPr>
              <w:t>≥</w:t>
            </w:r>
            <w:r>
              <w:rPr>
                <w:kern w:val="0"/>
                <w:sz w:val="18"/>
                <w:szCs w:val="18"/>
              </w:rPr>
              <w:t>99</w:t>
            </w:r>
          </w:p>
        </w:tc>
        <w:tc>
          <w:tcPr>
            <w:tcW w:w="1125"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rFonts w:hint="eastAsia"/>
                <w:kern w:val="0"/>
                <w:sz w:val="18"/>
                <w:szCs w:val="18"/>
              </w:rPr>
              <w:t>—</w:t>
            </w:r>
          </w:p>
        </w:tc>
        <w:tc>
          <w:tcPr>
            <w:tcW w:w="870" w:type="dxa"/>
            <w:vAlign w:val="center"/>
          </w:tcPr>
          <w:p>
            <w:pPr>
              <w:widowControl/>
              <w:adjustRightInd w:val="0"/>
              <w:snapToGrid w:val="0"/>
              <w:spacing w:line="240" w:lineRule="auto"/>
              <w:ind w:firstLineChars="0" w:firstLine="0"/>
              <w:jc w:val="center"/>
              <w:rPr>
                <w:bCs/>
                <w:kern w:val="0"/>
                <w:sz w:val="18"/>
                <w:szCs w:val="18"/>
              </w:rPr>
            </w:pPr>
            <w:r>
              <w:rPr>
                <w:rFonts w:hint="eastAsia"/>
                <w:sz w:val="18"/>
                <w:szCs w:val="18"/>
              </w:rPr>
              <w:t>约束</w:t>
            </w:r>
          </w:p>
        </w:tc>
      </w:tr>
      <w:tr>
        <w:trPr>
          <w:trHeight w:val="397"/>
        </w:trPr>
        <w:tc>
          <w:tcPr>
            <w:tcW w:w="989" w:type="dxa"/>
            <w:vMerge/>
            <w:vAlign w:val="center"/>
          </w:tcPr>
          <w:p/>
        </w:tc>
        <w:tc>
          <w:tcPr>
            <w:tcW w:w="3556"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rPr>
                <w:bCs/>
                <w:kern w:val="0"/>
                <w:sz w:val="18"/>
                <w:szCs w:val="18"/>
              </w:rPr>
            </w:pPr>
            <w:r>
              <w:rPr>
                <w:kern w:val="0"/>
                <w:sz w:val="18"/>
                <w:szCs w:val="18"/>
              </w:rPr>
              <w:t>20.</w:t>
            </w:r>
            <w:r>
              <w:rPr>
                <w:rFonts w:hint="eastAsia"/>
                <w:kern w:val="0"/>
                <w:sz w:val="18"/>
                <w:szCs w:val="18"/>
              </w:rPr>
              <w:t>优良水体比例（</w:t>
            </w:r>
            <w:r>
              <w:rPr>
                <w:kern w:val="0"/>
                <w:sz w:val="18"/>
                <w:szCs w:val="18"/>
              </w:rPr>
              <w:t>%</w:t>
            </w:r>
            <w:r>
              <w:rPr>
                <w:rFonts w:hint="eastAsia"/>
                <w:kern w:val="0"/>
                <w:sz w:val="18"/>
                <w:szCs w:val="18"/>
              </w:rPr>
              <w:t>）</w:t>
            </w:r>
          </w:p>
        </w:tc>
        <w:tc>
          <w:tcPr>
            <w:tcW w:w="837"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kern w:val="0"/>
                <w:sz w:val="18"/>
                <w:szCs w:val="18"/>
              </w:rPr>
              <w:t>100</w:t>
            </w:r>
          </w:p>
        </w:tc>
        <w:tc>
          <w:tcPr>
            <w:tcW w:w="850"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kern w:val="0"/>
                <w:sz w:val="18"/>
                <w:szCs w:val="18"/>
              </w:rPr>
              <w:t>100</w:t>
            </w:r>
          </w:p>
        </w:tc>
        <w:tc>
          <w:tcPr>
            <w:tcW w:w="1125"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rFonts w:hint="eastAsia"/>
                <w:kern w:val="0"/>
                <w:sz w:val="18"/>
                <w:szCs w:val="18"/>
              </w:rPr>
              <w:t>—</w:t>
            </w:r>
          </w:p>
        </w:tc>
        <w:tc>
          <w:tcPr>
            <w:tcW w:w="870" w:type="dxa"/>
            <w:vAlign w:val="center"/>
          </w:tcPr>
          <w:p>
            <w:pPr>
              <w:widowControl/>
              <w:adjustRightInd w:val="0"/>
              <w:snapToGrid w:val="0"/>
              <w:spacing w:line="240" w:lineRule="auto"/>
              <w:ind w:firstLineChars="0" w:firstLine="0"/>
              <w:jc w:val="center"/>
              <w:rPr>
                <w:bCs/>
                <w:kern w:val="0"/>
                <w:sz w:val="18"/>
                <w:szCs w:val="18"/>
              </w:rPr>
            </w:pPr>
            <w:r>
              <w:rPr>
                <w:rFonts w:hint="eastAsia"/>
                <w:sz w:val="18"/>
                <w:szCs w:val="18"/>
              </w:rPr>
              <w:t>约束</w:t>
            </w:r>
          </w:p>
        </w:tc>
      </w:tr>
      <w:tr>
        <w:trPr>
          <w:trHeight w:val="397"/>
        </w:trPr>
        <w:tc>
          <w:tcPr>
            <w:tcW w:w="989" w:type="dxa"/>
            <w:vMerge/>
            <w:vAlign w:val="center"/>
          </w:tcPr>
          <w:p/>
        </w:tc>
        <w:tc>
          <w:tcPr>
            <w:tcW w:w="3556"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rPr>
                <w:bCs/>
                <w:kern w:val="0"/>
                <w:sz w:val="18"/>
                <w:szCs w:val="18"/>
              </w:rPr>
            </w:pPr>
            <w:r>
              <w:rPr>
                <w:kern w:val="0"/>
                <w:sz w:val="18"/>
                <w:szCs w:val="18"/>
              </w:rPr>
              <w:t>21.</w:t>
            </w:r>
            <w:r>
              <w:rPr>
                <w:rFonts w:hint="eastAsia"/>
                <w:kern w:val="0"/>
                <w:sz w:val="18"/>
                <w:szCs w:val="18"/>
              </w:rPr>
              <w:t>森林覆盖率（</w:t>
            </w:r>
            <w:r>
              <w:rPr>
                <w:kern w:val="0"/>
                <w:sz w:val="18"/>
                <w:szCs w:val="18"/>
              </w:rPr>
              <w:t>%</w:t>
            </w:r>
            <w:r>
              <w:rPr>
                <w:rFonts w:hint="eastAsia"/>
                <w:kern w:val="0"/>
                <w:sz w:val="18"/>
                <w:szCs w:val="18"/>
              </w:rPr>
              <w:t>）</w:t>
            </w:r>
          </w:p>
        </w:tc>
        <w:tc>
          <w:tcPr>
            <w:tcW w:w="837"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kern w:val="0"/>
                <w:sz w:val="18"/>
                <w:szCs w:val="18"/>
              </w:rPr>
              <w:t>35.5</w:t>
            </w:r>
          </w:p>
        </w:tc>
        <w:tc>
          <w:tcPr>
            <w:tcW w:w="850"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rFonts w:hint="eastAsia"/>
                <w:kern w:val="0"/>
                <w:sz w:val="18"/>
                <w:szCs w:val="18"/>
              </w:rPr>
              <w:t>≥</w:t>
            </w:r>
            <w:r>
              <w:rPr>
                <w:kern w:val="0"/>
                <w:sz w:val="18"/>
                <w:szCs w:val="18"/>
              </w:rPr>
              <w:t>35.5</w:t>
            </w:r>
          </w:p>
        </w:tc>
        <w:tc>
          <w:tcPr>
            <w:tcW w:w="1125"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rFonts w:hint="eastAsia"/>
                <w:kern w:val="0"/>
                <w:sz w:val="18"/>
                <w:szCs w:val="18"/>
              </w:rPr>
              <w:t>—</w:t>
            </w:r>
          </w:p>
        </w:tc>
        <w:tc>
          <w:tcPr>
            <w:tcW w:w="870" w:type="dxa"/>
            <w:vAlign w:val="center"/>
          </w:tcPr>
          <w:p>
            <w:pPr>
              <w:widowControl/>
              <w:adjustRightInd w:val="0"/>
              <w:snapToGrid w:val="0"/>
              <w:spacing w:line="240" w:lineRule="auto"/>
              <w:ind w:firstLineChars="0" w:firstLine="0"/>
              <w:jc w:val="center"/>
              <w:rPr>
                <w:bCs/>
                <w:kern w:val="0"/>
                <w:sz w:val="18"/>
                <w:szCs w:val="18"/>
              </w:rPr>
            </w:pPr>
            <w:r>
              <w:rPr>
                <w:rFonts w:hint="eastAsia"/>
                <w:sz w:val="18"/>
                <w:szCs w:val="18"/>
              </w:rPr>
              <w:t>约束</w:t>
            </w:r>
          </w:p>
        </w:tc>
      </w:tr>
      <w:tr>
        <w:trPr>
          <w:trHeight w:val="397"/>
        </w:trPr>
        <w:tc>
          <w:tcPr>
            <w:tcW w:w="989" w:type="dxa"/>
            <w:vMerge/>
            <w:vAlign w:val="center"/>
          </w:tcPr>
          <w:p/>
        </w:tc>
        <w:tc>
          <w:tcPr>
            <w:tcW w:w="3556"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rPr>
                <w:bCs/>
                <w:kern w:val="0"/>
                <w:sz w:val="18"/>
                <w:szCs w:val="18"/>
              </w:rPr>
            </w:pPr>
            <w:r>
              <w:rPr>
                <w:kern w:val="0"/>
                <w:sz w:val="18"/>
                <w:szCs w:val="18"/>
              </w:rPr>
              <w:t>22.</w:t>
            </w:r>
            <w:r>
              <w:rPr>
                <w:rFonts w:hint="eastAsia"/>
                <w:kern w:val="0"/>
                <w:sz w:val="18"/>
                <w:szCs w:val="18"/>
              </w:rPr>
              <w:t>草原综合植被盖度（</w:t>
            </w:r>
            <w:r>
              <w:rPr>
                <w:kern w:val="0"/>
                <w:sz w:val="18"/>
                <w:szCs w:val="18"/>
              </w:rPr>
              <w:t>%</w:t>
            </w:r>
            <w:r>
              <w:rPr>
                <w:rFonts w:hint="eastAsia"/>
                <w:kern w:val="0"/>
                <w:sz w:val="18"/>
                <w:szCs w:val="18"/>
              </w:rPr>
              <w:t>）</w:t>
            </w:r>
          </w:p>
        </w:tc>
        <w:tc>
          <w:tcPr>
            <w:tcW w:w="837"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kern w:val="0"/>
                <w:sz w:val="18"/>
                <w:szCs w:val="18"/>
              </w:rPr>
              <w:t>18</w:t>
            </w:r>
          </w:p>
        </w:tc>
        <w:tc>
          <w:tcPr>
            <w:tcW w:w="850"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kern w:val="0"/>
                <w:sz w:val="18"/>
                <w:szCs w:val="18"/>
              </w:rPr>
              <w:t>19</w:t>
            </w:r>
          </w:p>
        </w:tc>
        <w:tc>
          <w:tcPr>
            <w:tcW w:w="1125"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rFonts w:hint="eastAsia"/>
                <w:kern w:val="0"/>
                <w:sz w:val="18"/>
                <w:szCs w:val="18"/>
              </w:rPr>
              <w:t>—</w:t>
            </w:r>
          </w:p>
        </w:tc>
        <w:tc>
          <w:tcPr>
            <w:tcW w:w="870" w:type="dxa"/>
            <w:vAlign w:val="center"/>
          </w:tcPr>
          <w:p>
            <w:pPr>
              <w:widowControl/>
              <w:adjustRightInd w:val="0"/>
              <w:snapToGrid w:val="0"/>
              <w:spacing w:line="240" w:lineRule="auto"/>
              <w:ind w:firstLineChars="0" w:firstLine="0"/>
              <w:jc w:val="center"/>
              <w:rPr>
                <w:bCs/>
                <w:kern w:val="0"/>
                <w:sz w:val="18"/>
                <w:szCs w:val="18"/>
              </w:rPr>
            </w:pPr>
            <w:r>
              <w:rPr>
                <w:rFonts w:hint="eastAsia"/>
                <w:sz w:val="18"/>
                <w:szCs w:val="18"/>
              </w:rPr>
              <w:t>预期</w:t>
            </w:r>
          </w:p>
        </w:tc>
      </w:tr>
      <w:tr>
        <w:trPr>
          <w:trHeight w:val="397"/>
        </w:trPr>
        <w:tc>
          <w:tcPr>
            <w:tcW w:w="989" w:type="dxa"/>
            <w:vMerge/>
            <w:vAlign w:val="center"/>
          </w:tcPr>
          <w:p/>
        </w:tc>
        <w:tc>
          <w:tcPr>
            <w:tcW w:w="3556" w:type="dxa"/>
            <w:tcBorders>
              <w:top w:val="single" w:sz="4" w:space="0" w:color="000000"/>
              <w:left w:val="single" w:sz="4" w:space="0" w:color="000000"/>
              <w:bottom w:val="single" w:sz="4" w:space="0" w:color="000000"/>
              <w:right w:val="single" w:sz="4" w:space="0" w:color="000000"/>
            </w:tcBorders>
            <w:vAlign w:val="center"/>
          </w:tcPr>
          <w:p>
            <w:pPr>
              <w:adjustRightInd w:val="0"/>
              <w:snapToGrid w:val="0"/>
              <w:spacing w:line="240" w:lineRule="auto"/>
              <w:ind w:firstLineChars="0" w:firstLine="0"/>
              <w:rPr>
                <w:kern w:val="0"/>
                <w:sz w:val="18"/>
                <w:szCs w:val="18"/>
              </w:rPr>
            </w:pPr>
            <w:r>
              <w:rPr>
                <w:kern w:val="0"/>
                <w:sz w:val="18"/>
                <w:szCs w:val="18"/>
              </w:rPr>
              <w:t>23.</w:t>
            </w:r>
            <w:r>
              <w:rPr>
                <w:rFonts w:hint="eastAsia"/>
                <w:kern w:val="0"/>
                <w:sz w:val="18"/>
                <w:szCs w:val="18"/>
              </w:rPr>
              <w:t>城镇生活污水处理率（</w:t>
            </w:r>
            <w:r>
              <w:rPr>
                <w:kern w:val="0"/>
                <w:sz w:val="18"/>
                <w:szCs w:val="18"/>
              </w:rPr>
              <w:t>%</w:t>
            </w:r>
            <w:r>
              <w:rPr>
                <w:rFonts w:hint="eastAsia"/>
                <w:kern w:val="0"/>
                <w:sz w:val="18"/>
                <w:szCs w:val="18"/>
              </w:rPr>
              <w:t>）</w:t>
            </w:r>
          </w:p>
        </w:tc>
        <w:tc>
          <w:tcPr>
            <w:tcW w:w="837"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kern w:val="0"/>
                <w:sz w:val="18"/>
                <w:szCs w:val="18"/>
              </w:rPr>
            </w:pPr>
            <w:r>
              <w:rPr>
                <w:kern w:val="0"/>
                <w:sz w:val="18"/>
                <w:szCs w:val="18"/>
              </w:rPr>
              <w:t>96</w:t>
            </w:r>
          </w:p>
        </w:tc>
        <w:tc>
          <w:tcPr>
            <w:tcW w:w="850"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kern w:val="0"/>
                <w:sz w:val="18"/>
                <w:szCs w:val="18"/>
              </w:rPr>
            </w:pPr>
            <w:bookmarkStart w:id="167" w:name="_Hlk219652331"/>
            <w:r>
              <w:rPr>
                <w:rFonts w:hint="eastAsia"/>
                <w:kern w:val="0"/>
                <w:sz w:val="18"/>
                <w:szCs w:val="18"/>
              </w:rPr>
              <w:t>≥</w:t>
            </w:r>
            <w:bookmarkEnd w:id="167"/>
            <w:r>
              <w:rPr>
                <w:kern w:val="0"/>
                <w:sz w:val="18"/>
                <w:szCs w:val="18"/>
              </w:rPr>
              <w:t>98</w:t>
            </w:r>
          </w:p>
        </w:tc>
        <w:tc>
          <w:tcPr>
            <w:tcW w:w="1125"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rFonts w:hint="eastAsia"/>
                <w:kern w:val="0"/>
                <w:sz w:val="18"/>
                <w:szCs w:val="18"/>
              </w:rPr>
              <w:t>—</w:t>
            </w:r>
          </w:p>
        </w:tc>
        <w:tc>
          <w:tcPr>
            <w:tcW w:w="870" w:type="dxa"/>
            <w:vAlign w:val="center"/>
          </w:tcPr>
          <w:p>
            <w:pPr>
              <w:widowControl/>
              <w:adjustRightInd w:val="0"/>
              <w:snapToGrid w:val="0"/>
              <w:spacing w:line="240" w:lineRule="auto"/>
              <w:ind w:firstLineChars="0" w:firstLine="0"/>
              <w:jc w:val="center"/>
              <w:rPr>
                <w:sz w:val="18"/>
                <w:szCs w:val="18"/>
              </w:rPr>
            </w:pPr>
            <w:r>
              <w:rPr>
                <w:rFonts w:hint="eastAsia"/>
                <w:sz w:val="18"/>
                <w:szCs w:val="18"/>
              </w:rPr>
              <w:t>预期</w:t>
            </w:r>
          </w:p>
        </w:tc>
      </w:tr>
      <w:tr>
        <w:trPr>
          <w:trHeight w:val="397"/>
        </w:trPr>
        <w:tc>
          <w:tcPr>
            <w:tcW w:w="989" w:type="dxa"/>
            <w:vMerge/>
            <w:vAlign w:val="center"/>
          </w:tcPr>
          <w:p/>
        </w:tc>
        <w:tc>
          <w:tcPr>
            <w:tcW w:w="3556"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rPr>
                <w:bCs/>
                <w:kern w:val="0"/>
                <w:sz w:val="18"/>
                <w:szCs w:val="18"/>
              </w:rPr>
            </w:pPr>
            <w:r>
              <w:rPr>
                <w:kern w:val="0"/>
                <w:sz w:val="18"/>
                <w:szCs w:val="18"/>
              </w:rPr>
              <w:t>24.</w:t>
            </w:r>
            <w:r>
              <w:rPr>
                <w:rFonts w:hint="eastAsia"/>
                <w:kern w:val="0"/>
                <w:sz w:val="18"/>
                <w:szCs w:val="18"/>
              </w:rPr>
              <w:t>城镇生活垃圾无害化处理率（</w:t>
            </w:r>
            <w:r>
              <w:rPr>
                <w:kern w:val="0"/>
                <w:sz w:val="18"/>
                <w:szCs w:val="18"/>
              </w:rPr>
              <w:t>%</w:t>
            </w:r>
            <w:r>
              <w:rPr>
                <w:rFonts w:hint="eastAsia"/>
                <w:kern w:val="0"/>
                <w:sz w:val="18"/>
                <w:szCs w:val="18"/>
              </w:rPr>
              <w:t>）</w:t>
            </w:r>
          </w:p>
        </w:tc>
        <w:tc>
          <w:tcPr>
            <w:tcW w:w="837"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kern w:val="0"/>
                <w:sz w:val="18"/>
                <w:szCs w:val="18"/>
              </w:rPr>
              <w:t>97.6</w:t>
            </w:r>
          </w:p>
        </w:tc>
        <w:tc>
          <w:tcPr>
            <w:tcW w:w="850"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rFonts w:hint="eastAsia"/>
                <w:kern w:val="0"/>
                <w:sz w:val="18"/>
                <w:szCs w:val="18"/>
              </w:rPr>
              <w:t>≥</w:t>
            </w:r>
            <w:r>
              <w:rPr>
                <w:kern w:val="0"/>
                <w:sz w:val="18"/>
                <w:szCs w:val="18"/>
              </w:rPr>
              <w:t>98</w:t>
            </w:r>
          </w:p>
        </w:tc>
        <w:tc>
          <w:tcPr>
            <w:tcW w:w="1125"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rFonts w:hint="eastAsia"/>
                <w:kern w:val="0"/>
                <w:sz w:val="18"/>
                <w:szCs w:val="18"/>
              </w:rPr>
              <w:t>—</w:t>
            </w:r>
          </w:p>
        </w:tc>
        <w:tc>
          <w:tcPr>
            <w:tcW w:w="870" w:type="dxa"/>
            <w:vAlign w:val="center"/>
          </w:tcPr>
          <w:p>
            <w:pPr>
              <w:widowControl/>
              <w:adjustRightInd w:val="0"/>
              <w:snapToGrid w:val="0"/>
              <w:spacing w:line="240" w:lineRule="auto"/>
              <w:ind w:firstLineChars="0" w:firstLine="0"/>
              <w:jc w:val="center"/>
              <w:rPr>
                <w:bCs/>
                <w:kern w:val="0"/>
                <w:sz w:val="18"/>
                <w:szCs w:val="18"/>
              </w:rPr>
            </w:pPr>
            <w:r>
              <w:rPr>
                <w:rFonts w:hint="eastAsia"/>
                <w:sz w:val="18"/>
                <w:szCs w:val="18"/>
              </w:rPr>
              <w:t>预期</w:t>
            </w:r>
          </w:p>
        </w:tc>
      </w:tr>
      <w:tr>
        <w:trPr>
          <w:trHeight w:val="397"/>
        </w:trPr>
        <w:tc>
          <w:tcPr>
            <w:tcW w:w="989" w:type="dxa"/>
            <w:vMerge w:val="restart"/>
            <w:vAlign w:val="center"/>
          </w:tcPr>
          <w:p>
            <w:pPr>
              <w:widowControl/>
              <w:adjustRightInd w:val="0"/>
              <w:snapToGrid w:val="0"/>
              <w:spacing w:line="240" w:lineRule="auto"/>
              <w:ind w:firstLineChars="0" w:firstLine="0"/>
              <w:jc w:val="center"/>
              <w:rPr>
                <w:bCs/>
                <w:kern w:val="0"/>
                <w:sz w:val="18"/>
                <w:szCs w:val="18"/>
              </w:rPr>
            </w:pPr>
            <w:r>
              <w:rPr>
                <w:rFonts w:hint="eastAsia"/>
                <w:bCs/>
                <w:kern w:val="0"/>
                <w:sz w:val="18"/>
                <w:szCs w:val="18"/>
              </w:rPr>
              <w:t>安全</w:t>
            </w:r>
          </w:p>
          <w:p>
            <w:pPr>
              <w:widowControl/>
              <w:adjustRightInd w:val="0"/>
              <w:snapToGrid w:val="0"/>
              <w:spacing w:line="240" w:lineRule="auto"/>
              <w:ind w:firstLineChars="0" w:firstLine="0"/>
              <w:jc w:val="center"/>
              <w:rPr>
                <w:bCs/>
                <w:kern w:val="0"/>
                <w:sz w:val="18"/>
                <w:szCs w:val="18"/>
              </w:rPr>
            </w:pPr>
            <w:r>
              <w:rPr>
                <w:rFonts w:hint="eastAsia"/>
                <w:bCs/>
                <w:kern w:val="0"/>
                <w:sz w:val="18"/>
                <w:szCs w:val="18"/>
              </w:rPr>
              <w:t>发展</w:t>
            </w:r>
          </w:p>
          <w:p>
            <w:pPr>
              <w:widowControl/>
              <w:adjustRightInd w:val="0"/>
              <w:snapToGrid w:val="0"/>
              <w:spacing w:line="240" w:lineRule="auto"/>
              <w:ind w:firstLineChars="0" w:firstLine="0"/>
              <w:jc w:val="center"/>
              <w:rPr>
                <w:bCs/>
                <w:kern w:val="0"/>
                <w:sz w:val="18"/>
                <w:szCs w:val="18"/>
              </w:rPr>
            </w:pPr>
            <w:r>
              <w:rPr>
                <w:rFonts w:hint="eastAsia"/>
                <w:bCs/>
                <w:kern w:val="0"/>
                <w:sz w:val="18"/>
                <w:szCs w:val="18"/>
              </w:rPr>
              <w:t>（</w:t>
            </w:r>
            <w:r>
              <w:rPr>
                <w:bCs/>
                <w:kern w:val="0"/>
                <w:sz w:val="18"/>
                <w:szCs w:val="18"/>
              </w:rPr>
              <w:t>3</w:t>
            </w:r>
            <w:r>
              <w:rPr>
                <w:rFonts w:hint="eastAsia"/>
                <w:bCs/>
                <w:kern w:val="0"/>
                <w:sz w:val="18"/>
                <w:szCs w:val="18"/>
              </w:rPr>
              <w:t>个）</w:t>
            </w:r>
          </w:p>
        </w:tc>
        <w:tc>
          <w:tcPr>
            <w:tcW w:w="3556"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rPr>
                <w:kern w:val="0"/>
                <w:sz w:val="18"/>
                <w:szCs w:val="18"/>
              </w:rPr>
            </w:pPr>
            <w:r>
              <w:rPr>
                <w:kern w:val="0"/>
                <w:sz w:val="18"/>
                <w:szCs w:val="18"/>
              </w:rPr>
              <w:t>25.</w:t>
            </w:r>
            <w:r>
              <w:rPr>
                <w:rFonts w:hint="eastAsia"/>
                <w:kern w:val="0"/>
                <w:sz w:val="18"/>
                <w:szCs w:val="18"/>
              </w:rPr>
              <w:t>耕地保有量（万亩）</w:t>
            </w:r>
          </w:p>
        </w:tc>
        <w:tc>
          <w:tcPr>
            <w:tcW w:w="837"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kern w:val="0"/>
                <w:sz w:val="18"/>
                <w:szCs w:val="18"/>
              </w:rPr>
            </w:pPr>
            <w:r>
              <w:rPr>
                <w:kern w:val="0"/>
                <w:sz w:val="18"/>
                <w:szCs w:val="18"/>
              </w:rPr>
              <w:t>12.52</w:t>
            </w:r>
          </w:p>
        </w:tc>
        <w:tc>
          <w:tcPr>
            <w:tcW w:w="850"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kern w:val="0"/>
                <w:sz w:val="18"/>
                <w:szCs w:val="18"/>
              </w:rPr>
            </w:pPr>
            <w:r>
              <w:rPr>
                <w:kern w:val="0"/>
                <w:sz w:val="18"/>
                <w:szCs w:val="18"/>
              </w:rPr>
              <w:t>12.54</w:t>
            </w:r>
          </w:p>
        </w:tc>
        <w:tc>
          <w:tcPr>
            <w:tcW w:w="1125"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rFonts w:hint="eastAsia"/>
                <w:kern w:val="0"/>
                <w:sz w:val="18"/>
                <w:szCs w:val="18"/>
              </w:rPr>
              <w:t>—</w:t>
            </w:r>
          </w:p>
        </w:tc>
        <w:tc>
          <w:tcPr>
            <w:tcW w:w="870" w:type="dxa"/>
            <w:vAlign w:val="center"/>
          </w:tcPr>
          <w:p>
            <w:pPr>
              <w:widowControl/>
              <w:adjustRightInd w:val="0"/>
              <w:snapToGrid w:val="0"/>
              <w:spacing w:line="240" w:lineRule="auto"/>
              <w:ind w:firstLineChars="0" w:firstLine="0"/>
              <w:jc w:val="center"/>
              <w:rPr>
                <w:sz w:val="18"/>
                <w:szCs w:val="18"/>
              </w:rPr>
            </w:pPr>
            <w:r>
              <w:rPr>
                <w:rFonts w:hint="eastAsia"/>
                <w:sz w:val="18"/>
                <w:szCs w:val="18"/>
              </w:rPr>
              <w:t>约束</w:t>
            </w:r>
          </w:p>
        </w:tc>
      </w:tr>
      <w:tr>
        <w:trPr>
          <w:trHeight w:val="397"/>
        </w:trPr>
        <w:tc>
          <w:tcPr>
            <w:tcW w:w="989" w:type="dxa"/>
            <w:vMerge/>
            <w:vAlign w:val="center"/>
          </w:tcPr>
          <w:p/>
        </w:tc>
        <w:tc>
          <w:tcPr>
            <w:tcW w:w="3556"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rPr>
                <w:kern w:val="0"/>
                <w:sz w:val="18"/>
                <w:szCs w:val="18"/>
              </w:rPr>
            </w:pPr>
            <w:r>
              <w:rPr>
                <w:kern w:val="0"/>
                <w:sz w:val="18"/>
                <w:szCs w:val="18"/>
              </w:rPr>
              <w:t>26.</w:t>
            </w:r>
            <w:r>
              <w:rPr>
                <w:rFonts w:hint="eastAsia"/>
                <w:kern w:val="0"/>
                <w:sz w:val="18"/>
                <w:szCs w:val="18"/>
              </w:rPr>
              <w:t>永久基本农田保护面积（万亩）</w:t>
            </w:r>
          </w:p>
        </w:tc>
        <w:tc>
          <w:tcPr>
            <w:tcW w:w="837"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kern w:val="0"/>
                <w:sz w:val="18"/>
                <w:szCs w:val="18"/>
              </w:rPr>
            </w:pPr>
            <w:r>
              <w:rPr>
                <w:kern w:val="0"/>
                <w:sz w:val="18"/>
                <w:szCs w:val="18"/>
              </w:rPr>
              <w:t>10.21</w:t>
            </w:r>
          </w:p>
        </w:tc>
        <w:tc>
          <w:tcPr>
            <w:tcW w:w="850"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kern w:val="0"/>
                <w:sz w:val="18"/>
                <w:szCs w:val="18"/>
              </w:rPr>
            </w:pPr>
            <w:r>
              <w:rPr>
                <w:kern w:val="0"/>
                <w:sz w:val="18"/>
                <w:szCs w:val="18"/>
              </w:rPr>
              <w:t>10.21</w:t>
            </w:r>
          </w:p>
        </w:tc>
        <w:tc>
          <w:tcPr>
            <w:tcW w:w="1125"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rFonts w:hint="eastAsia"/>
                <w:kern w:val="0"/>
                <w:sz w:val="18"/>
                <w:szCs w:val="18"/>
              </w:rPr>
              <w:t>—</w:t>
            </w:r>
          </w:p>
        </w:tc>
        <w:tc>
          <w:tcPr>
            <w:tcW w:w="870" w:type="dxa"/>
            <w:vAlign w:val="center"/>
          </w:tcPr>
          <w:p>
            <w:pPr>
              <w:widowControl/>
              <w:adjustRightInd w:val="0"/>
              <w:snapToGrid w:val="0"/>
              <w:spacing w:line="240" w:lineRule="auto"/>
              <w:ind w:firstLineChars="0" w:firstLine="0"/>
              <w:jc w:val="center"/>
              <w:rPr>
                <w:sz w:val="18"/>
                <w:szCs w:val="18"/>
              </w:rPr>
            </w:pPr>
            <w:r>
              <w:rPr>
                <w:rFonts w:hint="eastAsia"/>
                <w:sz w:val="18"/>
                <w:szCs w:val="18"/>
              </w:rPr>
              <w:t>约束</w:t>
            </w:r>
          </w:p>
        </w:tc>
      </w:tr>
      <w:tr>
        <w:trPr>
          <w:trHeight w:val="397"/>
        </w:trPr>
        <w:tc>
          <w:tcPr>
            <w:tcW w:w="989" w:type="dxa"/>
            <w:vMerge/>
            <w:vAlign w:val="center"/>
          </w:tcPr>
          <w:p/>
        </w:tc>
        <w:tc>
          <w:tcPr>
            <w:tcW w:w="3556"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rPr>
                <w:bCs/>
                <w:kern w:val="0"/>
                <w:sz w:val="18"/>
                <w:szCs w:val="18"/>
              </w:rPr>
            </w:pPr>
            <w:r>
              <w:rPr>
                <w:kern w:val="0"/>
                <w:sz w:val="18"/>
                <w:szCs w:val="18"/>
              </w:rPr>
              <w:t>27.</w:t>
            </w:r>
            <w:r>
              <w:rPr>
                <w:rFonts w:hint="eastAsia"/>
                <w:kern w:val="0"/>
                <w:sz w:val="18"/>
                <w:szCs w:val="18"/>
              </w:rPr>
              <w:t>青稞产量（万吨）</w:t>
            </w:r>
          </w:p>
        </w:tc>
        <w:tc>
          <w:tcPr>
            <w:tcW w:w="837"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kern w:val="0"/>
                <w:sz w:val="18"/>
                <w:szCs w:val="18"/>
              </w:rPr>
              <w:t>0.83</w:t>
            </w:r>
          </w:p>
        </w:tc>
        <w:tc>
          <w:tcPr>
            <w:tcW w:w="850"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kern w:val="0"/>
                <w:sz w:val="18"/>
                <w:szCs w:val="18"/>
              </w:rPr>
              <w:t>0.83</w:t>
            </w:r>
          </w:p>
        </w:tc>
        <w:tc>
          <w:tcPr>
            <w:tcW w:w="1125" w:type="dxa"/>
            <w:tcBorders>
              <w:top w:val="single" w:sz="4" w:space="0" w:color="000000"/>
              <w:left w:val="single" w:sz="4" w:space="0" w:color="000000"/>
              <w:bottom w:val="single" w:sz="4" w:space="0" w:color="000000"/>
              <w:right w:val="single" w:sz="4" w:space="0" w:color="000000"/>
            </w:tcBorders>
            <w:vAlign w:val="center"/>
          </w:tcPr>
          <w:p>
            <w:pPr>
              <w:widowControl/>
              <w:adjustRightInd w:val="0"/>
              <w:snapToGrid w:val="0"/>
              <w:spacing w:line="240" w:lineRule="auto"/>
              <w:ind w:firstLineChars="0" w:firstLine="0"/>
              <w:jc w:val="center"/>
              <w:rPr>
                <w:bCs/>
                <w:kern w:val="0"/>
                <w:sz w:val="18"/>
                <w:szCs w:val="18"/>
              </w:rPr>
            </w:pPr>
            <w:r>
              <w:rPr>
                <w:rFonts w:hint="eastAsia"/>
                <w:kern w:val="0"/>
                <w:sz w:val="18"/>
                <w:szCs w:val="18"/>
              </w:rPr>
              <w:t>—</w:t>
            </w:r>
          </w:p>
        </w:tc>
        <w:tc>
          <w:tcPr>
            <w:tcW w:w="870" w:type="dxa"/>
            <w:vAlign w:val="center"/>
          </w:tcPr>
          <w:p>
            <w:pPr>
              <w:widowControl/>
              <w:adjustRightInd w:val="0"/>
              <w:snapToGrid w:val="0"/>
              <w:spacing w:line="240" w:lineRule="auto"/>
              <w:ind w:firstLineChars="0" w:firstLine="0"/>
              <w:jc w:val="center"/>
              <w:rPr>
                <w:bCs/>
                <w:kern w:val="0"/>
                <w:sz w:val="18"/>
                <w:szCs w:val="18"/>
              </w:rPr>
            </w:pPr>
            <w:r>
              <w:rPr>
                <w:rFonts w:hint="eastAsia"/>
                <w:sz w:val="18"/>
                <w:szCs w:val="18"/>
              </w:rPr>
              <w:t>预期</w:t>
            </w:r>
          </w:p>
        </w:tc>
      </w:tr>
    </w:tbl>
    <w:p>
      <w:pPr>
        <w:pStyle w:val="1"/>
        <w:spacing w:after="190"/>
        <w:ind w:firstLineChars="62" w:firstLine="174"/>
      </w:pPr>
      <w:r>
        <w:br w:type="page"/>
      </w:r>
    </w:p>
    <w:p>
      <w:pPr>
        <w:pStyle w:val="1"/>
        <w:spacing w:after="190"/>
        <w:ind w:firstLineChars="62" w:firstLine="174"/>
      </w:pPr>
      <w:bookmarkStart w:id="168" w:name="_Toc223858410"/>
      <w:r>
        <w:t>第</w:t>
      </w:r>
      <w:r>
        <w:rPr>
          <w:rFonts w:hint="eastAsia"/>
        </w:rPr>
        <w:t>三</w:t>
      </w:r>
      <w:r>
        <w:t>章 稳定为先，</w:t>
      </w:r>
      <w:r>
        <w:rPr>
          <w:rFonts w:hint="eastAsia"/>
        </w:rPr>
        <w:t>增强安全保障能力</w:t>
      </w:r>
      <w:bookmarkEnd w:id="166"/>
      <w:bookmarkEnd w:id="168"/>
    </w:p>
    <w:p>
      <w:pPr>
        <w:pStyle w:val="2"/>
        <w:spacing w:after="190" w:line="576" w:lineRule="exact"/>
      </w:pPr>
      <w:bookmarkStart w:id="169" w:name="_Toc218406228"/>
      <w:bookmarkStart w:id="170" w:name="_Toc223858411"/>
      <w:r>
        <w:rPr>
          <w:rFonts w:hint="eastAsia"/>
        </w:rPr>
        <w:t>第一节</w:t>
      </w:r>
      <w:r>
        <w:t xml:space="preserve"> </w:t>
      </w:r>
      <w:bookmarkStart w:id="171" w:name="_Hlk217423039"/>
      <w:r>
        <w:rPr>
          <w:rFonts w:hint="eastAsia"/>
        </w:rPr>
        <w:t>推进中华民族共同体建设</w:t>
      </w:r>
      <w:bookmarkEnd w:id="169"/>
      <w:bookmarkEnd w:id="170"/>
      <w:bookmarkEnd w:id="171"/>
    </w:p>
    <w:p>
      <w:pPr>
        <w:rPr>
          <w:szCs w:val="21"/>
        </w:rPr>
      </w:pPr>
      <w:r>
        <w:rPr>
          <w:rFonts w:eastAsia="楷体_GB2312" w:hint="eastAsia"/>
          <w:b/>
          <w:szCs w:val="32"/>
        </w:rPr>
        <w:t>铸牢中华民族共同体意识。</w:t>
      </w:r>
      <w:r>
        <w:rPr>
          <w:szCs w:val="21"/>
        </w:rPr>
        <w:t>全面落实党的民族政策，优化民族团结教育内容与形式，将中华民族共同体意识宣传纳入干部教育、党员教育、国民教育和社会教育体系，</w:t>
      </w:r>
      <w:r>
        <w:rPr>
          <w:rFonts w:hint="eastAsia"/>
          <w:szCs w:val="21"/>
        </w:rPr>
        <w:t>树立正确汉藏交融史观</w:t>
      </w:r>
      <w:r>
        <w:rPr>
          <w:szCs w:val="21"/>
        </w:rPr>
        <w:t>。</w:t>
      </w:r>
      <w:r>
        <w:rPr>
          <w:rFonts w:hint="eastAsia"/>
          <w:szCs w:val="21"/>
        </w:rPr>
        <w:t>加强党史、新中国史、改革开放史、社会主义发展史、中华民族发展史、西藏地方与祖国关系史宣传教育，引导各族干部群众不断增进“五个认同”。</w:t>
      </w:r>
      <w:r>
        <w:rPr>
          <w:szCs w:val="21"/>
        </w:rPr>
        <w:t>充分利用新媒体资源，开展多层次民族团结宣传，讲好民族团结“波密故事”。推进中小学铸牢中华民族共同体意识思政课建设，</w:t>
      </w:r>
      <w:r>
        <w:rPr>
          <w:rFonts w:hint="eastAsia"/>
          <w:szCs w:val="21"/>
        </w:rPr>
        <w:t>全面</w:t>
      </w:r>
      <w:r>
        <w:rPr>
          <w:szCs w:val="21"/>
        </w:rPr>
        <w:t>推广普及国家通用语言文字，推行使用国家统编教材</w:t>
      </w:r>
      <w:r>
        <w:rPr>
          <w:rFonts w:hint="eastAsia"/>
          <w:szCs w:val="21"/>
        </w:rPr>
        <w:t>，加强各民族青少年文化交流</w:t>
      </w:r>
      <w:r>
        <w:rPr>
          <w:szCs w:val="21"/>
        </w:rPr>
        <w:t>。</w:t>
      </w:r>
    </w:p>
    <w:p>
      <w:pPr>
        <w:rPr>
          <w:szCs w:val="21"/>
        </w:rPr>
      </w:pPr>
      <w:bookmarkStart w:id="172" w:name="_Hlk217423482"/>
      <w:r>
        <w:rPr>
          <w:rFonts w:eastAsia="楷体_GB2312" w:hint="eastAsia"/>
          <w:b/>
          <w:szCs w:val="32"/>
        </w:rPr>
        <w:t>构建各民族共同繁荣发展格局</w:t>
      </w:r>
      <w:bookmarkEnd w:id="172"/>
      <w:r>
        <w:rPr>
          <w:rFonts w:eastAsia="楷体_GB2312" w:hint="eastAsia"/>
          <w:b/>
          <w:szCs w:val="32"/>
        </w:rPr>
        <w:t>。</w:t>
      </w:r>
      <w:r>
        <w:rPr>
          <w:rFonts w:hint="eastAsia"/>
          <w:b/>
          <w:szCs w:val="32"/>
        </w:rPr>
        <w:t>坚持空间互嵌。</w:t>
      </w:r>
      <w:r>
        <w:rPr>
          <w:bCs/>
          <w:szCs w:val="32"/>
        </w:rPr>
        <w:t>推进各民族共居共学，促进各民族共同团结进步。加强统筹协调，凝聚各族群众</w:t>
      </w:r>
      <w:r>
        <w:rPr>
          <w:rFonts w:hint="eastAsia"/>
          <w:bCs/>
          <w:szCs w:val="32"/>
        </w:rPr>
        <w:t>“</w:t>
      </w:r>
      <w:r>
        <w:rPr>
          <w:bCs/>
          <w:szCs w:val="32"/>
        </w:rPr>
        <w:t>互嵌式</w:t>
      </w:r>
      <w:r>
        <w:rPr>
          <w:rFonts w:hint="eastAsia"/>
          <w:bCs/>
          <w:szCs w:val="32"/>
        </w:rPr>
        <w:t>”</w:t>
      </w:r>
      <w:r>
        <w:rPr>
          <w:bCs/>
          <w:szCs w:val="32"/>
        </w:rPr>
        <w:t>发展工作合力，进一步完善均等化基础设施和配套公共服务，为各族</w:t>
      </w:r>
      <w:r>
        <w:rPr>
          <w:rFonts w:hint="eastAsia"/>
          <w:bCs/>
          <w:szCs w:val="32"/>
        </w:rPr>
        <w:t>群众提供国家通用语言文字学习、法律援助等多元关怀与支持，促进各民族广泛交往交流交融，实现从</w:t>
      </w:r>
      <w:r>
        <w:rPr>
          <w:bCs/>
          <w:szCs w:val="32"/>
        </w:rPr>
        <w:t>“</w:t>
      </w:r>
      <w:r>
        <w:rPr>
          <w:rFonts w:hint="eastAsia"/>
          <w:bCs/>
          <w:szCs w:val="32"/>
        </w:rPr>
        <w:t>混居</w:t>
      </w:r>
      <w:r>
        <w:rPr>
          <w:bCs/>
          <w:szCs w:val="32"/>
        </w:rPr>
        <w:t>”</w:t>
      </w:r>
      <w:r>
        <w:rPr>
          <w:rFonts w:hint="eastAsia"/>
          <w:bCs/>
          <w:szCs w:val="32"/>
        </w:rPr>
        <w:t>到</w:t>
      </w:r>
      <w:r>
        <w:rPr>
          <w:bCs/>
          <w:szCs w:val="32"/>
        </w:rPr>
        <w:t>“</w:t>
      </w:r>
      <w:r>
        <w:rPr>
          <w:rFonts w:hint="eastAsia"/>
          <w:bCs/>
          <w:szCs w:val="32"/>
        </w:rPr>
        <w:t>互嵌</w:t>
      </w:r>
      <w:r>
        <w:rPr>
          <w:bCs/>
          <w:szCs w:val="32"/>
        </w:rPr>
        <w:t>”</w:t>
      </w:r>
      <w:r>
        <w:rPr>
          <w:rFonts w:hint="eastAsia"/>
          <w:bCs/>
          <w:szCs w:val="32"/>
        </w:rPr>
        <w:t>、从</w:t>
      </w:r>
      <w:r>
        <w:rPr>
          <w:bCs/>
          <w:szCs w:val="32"/>
        </w:rPr>
        <w:t>“</w:t>
      </w:r>
      <w:r>
        <w:rPr>
          <w:rFonts w:hint="eastAsia"/>
          <w:bCs/>
          <w:szCs w:val="32"/>
        </w:rPr>
        <w:t>嵌入</w:t>
      </w:r>
      <w:r>
        <w:rPr>
          <w:bCs/>
          <w:szCs w:val="32"/>
        </w:rPr>
        <w:t>”</w:t>
      </w:r>
      <w:r>
        <w:rPr>
          <w:rFonts w:hint="eastAsia"/>
          <w:bCs/>
          <w:szCs w:val="32"/>
        </w:rPr>
        <w:t>到</w:t>
      </w:r>
      <w:r>
        <w:rPr>
          <w:bCs/>
          <w:szCs w:val="32"/>
        </w:rPr>
        <w:t>“</w:t>
      </w:r>
      <w:r>
        <w:rPr>
          <w:rFonts w:hint="eastAsia"/>
          <w:bCs/>
          <w:szCs w:val="32"/>
        </w:rPr>
        <w:t>交融</w:t>
      </w:r>
      <w:r>
        <w:rPr>
          <w:bCs/>
          <w:szCs w:val="32"/>
        </w:rPr>
        <w:t>”</w:t>
      </w:r>
      <w:r>
        <w:rPr>
          <w:rFonts w:hint="eastAsia"/>
          <w:bCs/>
          <w:szCs w:val="32"/>
        </w:rPr>
        <w:t>、从</w:t>
      </w:r>
      <w:r>
        <w:rPr>
          <w:bCs/>
          <w:szCs w:val="32"/>
        </w:rPr>
        <w:t>“</w:t>
      </w:r>
      <w:r>
        <w:rPr>
          <w:rFonts w:hint="eastAsia"/>
          <w:bCs/>
          <w:szCs w:val="32"/>
        </w:rPr>
        <w:t>共居</w:t>
      </w:r>
      <w:r>
        <w:rPr>
          <w:bCs/>
          <w:szCs w:val="32"/>
        </w:rPr>
        <w:t>”</w:t>
      </w:r>
      <w:r>
        <w:rPr>
          <w:rFonts w:hint="eastAsia"/>
          <w:bCs/>
          <w:szCs w:val="32"/>
        </w:rPr>
        <w:t>到</w:t>
      </w:r>
      <w:r>
        <w:rPr>
          <w:bCs/>
          <w:szCs w:val="32"/>
        </w:rPr>
        <w:t>“</w:t>
      </w:r>
      <w:r>
        <w:rPr>
          <w:rFonts w:hint="eastAsia"/>
          <w:bCs/>
          <w:szCs w:val="32"/>
        </w:rPr>
        <w:t>共生</w:t>
      </w:r>
      <w:r>
        <w:rPr>
          <w:bCs/>
          <w:szCs w:val="32"/>
        </w:rPr>
        <w:t>”</w:t>
      </w:r>
      <w:r>
        <w:rPr>
          <w:rFonts w:hint="eastAsia"/>
          <w:bCs/>
          <w:szCs w:val="32"/>
        </w:rPr>
        <w:t>。</w:t>
      </w:r>
      <w:r>
        <w:rPr>
          <w:rFonts w:hint="eastAsia"/>
          <w:b/>
          <w:szCs w:val="32"/>
        </w:rPr>
        <w:t>支持文化互嵌。</w:t>
      </w:r>
      <w:r>
        <w:rPr>
          <w:szCs w:val="21"/>
        </w:rPr>
        <w:t>完善增强中华文化认同体制机制，</w:t>
      </w:r>
      <w:bookmarkStart w:id="173" w:name="OLE_LINK57"/>
      <w:r>
        <w:rPr>
          <w:szCs w:val="21"/>
        </w:rPr>
        <w:t>鼓励不同民族群众开展结对帮扶</w:t>
      </w:r>
      <w:r>
        <w:rPr>
          <w:rFonts w:hint="eastAsia"/>
          <w:szCs w:val="21"/>
        </w:rPr>
        <w:t>，</w:t>
      </w:r>
      <w:bookmarkEnd w:id="173"/>
      <w:r>
        <w:rPr>
          <w:szCs w:val="21"/>
        </w:rPr>
        <w:t>推进</w:t>
      </w:r>
      <w:r>
        <w:rPr>
          <w:rFonts w:hint="eastAsia"/>
          <w:szCs w:val="21"/>
        </w:rPr>
        <w:t>粤</w:t>
      </w:r>
      <w:r>
        <w:rPr>
          <w:szCs w:val="21"/>
        </w:rPr>
        <w:t>藏文化交流</w:t>
      </w:r>
      <w:r>
        <w:rPr>
          <w:rFonts w:hint="eastAsia"/>
          <w:szCs w:val="21"/>
        </w:rPr>
        <w:t>，</w:t>
      </w:r>
      <w:r>
        <w:rPr>
          <w:rFonts w:hint="eastAsia"/>
          <w:bCs/>
          <w:szCs w:val="32"/>
        </w:rPr>
        <w:t>全方位做好</w:t>
      </w:r>
      <w:r>
        <w:rPr>
          <w:szCs w:val="21"/>
        </w:rPr>
        <w:t>党的民族宗教政策宣讲</w:t>
      </w:r>
      <w:r>
        <w:rPr>
          <w:rFonts w:hint="eastAsia"/>
          <w:szCs w:val="21"/>
        </w:rPr>
        <w:t>、</w:t>
      </w:r>
      <w:r>
        <w:rPr>
          <w:rFonts w:hint="eastAsia"/>
          <w:bCs/>
          <w:szCs w:val="32"/>
        </w:rPr>
        <w:t>民族团结</w:t>
      </w:r>
      <w:r>
        <w:rPr>
          <w:szCs w:val="32"/>
        </w:rPr>
        <w:t>宣传教育和民族团结进步创建活动，</w:t>
      </w:r>
      <w:bookmarkStart w:id="174" w:name="OLE_LINK54"/>
      <w:bookmarkStart w:id="175" w:name="OLE_LINK55"/>
      <w:r>
        <w:rPr>
          <w:szCs w:val="32"/>
        </w:rPr>
        <w:t>不</w:t>
      </w:r>
      <w:bookmarkEnd w:id="174"/>
      <w:bookmarkEnd w:id="175"/>
      <w:r>
        <w:rPr>
          <w:szCs w:val="32"/>
        </w:rPr>
        <w:t>断夯实民族团结进步创建进</w:t>
      </w:r>
      <w:r>
        <w:rPr>
          <w:rFonts w:hint="eastAsia"/>
          <w:szCs w:val="32"/>
        </w:rPr>
        <w:t>机关、企业、社区、乡镇、学校、连队、宗教活动场所、家庭、景区、网络</w:t>
      </w:r>
      <w:r>
        <w:rPr>
          <w:szCs w:val="32"/>
        </w:rPr>
        <w:t>等主阵地、主渠道，组织开展知识竞赛、征文演讲、书画摄影、诗歌朗诵等群众性活动，提升各族群众参与创建的主动性，促进各民族广泛交往、全面交流、深度交融</w:t>
      </w:r>
      <w:r>
        <w:rPr>
          <w:rFonts w:hint="eastAsia"/>
          <w:szCs w:val="32"/>
        </w:rPr>
        <w:t>，</w:t>
      </w:r>
      <w:r>
        <w:rPr>
          <w:szCs w:val="32"/>
        </w:rPr>
        <w:t>以经济互促实现利益共生，以成果共享巩固命运与共。</w:t>
      </w:r>
    </w:p>
    <w:p>
      <w:pPr>
        <w:pStyle w:val="2"/>
        <w:spacing w:after="190" w:line="576" w:lineRule="exact"/>
      </w:pPr>
      <w:bookmarkStart w:id="176" w:name="_Toc218406229"/>
      <w:bookmarkStart w:id="177" w:name="_Toc223858412"/>
      <w:r>
        <w:t>第</w:t>
      </w:r>
      <w:r>
        <w:rPr>
          <w:rFonts w:hint="eastAsia"/>
        </w:rPr>
        <w:t>二</w:t>
      </w:r>
      <w:r>
        <w:t xml:space="preserve">节 </w:t>
      </w:r>
      <w:r>
        <w:rPr>
          <w:rFonts w:hint="eastAsia"/>
        </w:rPr>
        <w:t>构建国家安全新格局</w:t>
      </w:r>
      <w:bookmarkEnd w:id="176"/>
      <w:bookmarkEnd w:id="177"/>
    </w:p>
    <w:p>
      <w:pPr>
        <w:rPr>
          <w:szCs w:val="32"/>
        </w:rPr>
      </w:pPr>
      <w:bookmarkStart w:id="178" w:name="_Hlk217424314"/>
      <w:r>
        <w:rPr>
          <w:rFonts w:eastAsia="楷体_GB2312" w:hint="eastAsia"/>
          <w:b/>
          <w:szCs w:val="32"/>
        </w:rPr>
        <w:t>健全国家安全工作体系</w:t>
      </w:r>
      <w:bookmarkEnd w:id="178"/>
      <w:r>
        <w:rPr>
          <w:rFonts w:eastAsia="楷体_GB2312" w:hint="eastAsia"/>
          <w:b/>
          <w:szCs w:val="32"/>
        </w:rPr>
        <w:t>。</w:t>
      </w:r>
      <w:r>
        <w:rPr>
          <w:rFonts w:hint="eastAsia"/>
          <w:szCs w:val="32"/>
        </w:rPr>
        <w:t>坚持党对国家安全工作的绝对领导，确保把思绪和行动统一到党中央决策部署上来。强化民族宗教、意识形态、粮食、能源、金融、数据、网络、生物等重点领域和重要专项国家安全工作协调机制。强化责任落实与监督机制，定期开展风险预警预判、危机管控处置、重大决策社会稳定风险评估。突出实战实用，把捍卫政治安全摆在首位，加强反分裂斗争。</w:t>
      </w:r>
      <w:bookmarkStart w:id="179" w:name="_Hlk217424304"/>
      <w:r>
        <w:rPr>
          <w:rFonts w:hint="eastAsia"/>
          <w:szCs w:val="32"/>
        </w:rPr>
        <w:t>加强力量配置，严格保障重大项目安全</w:t>
      </w:r>
      <w:bookmarkEnd w:id="179"/>
      <w:r>
        <w:rPr>
          <w:rFonts w:hint="eastAsia"/>
          <w:szCs w:val="32"/>
        </w:rPr>
        <w:t>实施。</w:t>
      </w:r>
    </w:p>
    <w:p>
      <w:pPr>
        <w:rPr>
          <w:rFonts w:eastAsia="楷体_GB2312"/>
          <w:b/>
          <w:szCs w:val="32"/>
        </w:rPr>
      </w:pPr>
      <w:r>
        <w:rPr>
          <w:rFonts w:eastAsia="楷体_GB2312" w:hint="eastAsia"/>
          <w:b/>
          <w:szCs w:val="32"/>
        </w:rPr>
        <w:t>增强国防动员能力。</w:t>
      </w:r>
      <w:bookmarkStart w:id="180" w:name="_Hlk217424892"/>
      <w:r>
        <w:rPr>
          <w:rFonts w:hint="eastAsia"/>
          <w:b/>
          <w:bCs/>
          <w:szCs w:val="32"/>
        </w:rPr>
        <w:t>强化后备力量建设与训练</w:t>
      </w:r>
      <w:bookmarkStart w:id="181" w:name="OLE_LINK304"/>
      <w:r>
        <w:rPr>
          <w:rFonts w:hint="eastAsia"/>
          <w:b/>
          <w:bCs/>
          <w:szCs w:val="32"/>
        </w:rPr>
        <w:t>。</w:t>
      </w:r>
      <w:r>
        <w:rPr>
          <w:rFonts w:hint="eastAsia"/>
          <w:szCs w:val="32"/>
        </w:rPr>
        <w:t>优化城乡防空、防灾设施布局，重点实施波密县波茂广场地下人防工程建设项目。推动人防与治安防控融合，坚持平战结合，提升战时应战、灾时应急、平时服务能力。合理布局国防动员资源，提升动员能力，推进波密县军警民训练基地建设项目。</w:t>
      </w:r>
      <w:r>
        <w:rPr>
          <w:szCs w:val="32"/>
        </w:rPr>
        <w:t>重点抓好</w:t>
      </w:r>
      <w:r>
        <w:rPr>
          <w:rFonts w:hint="eastAsia"/>
          <w:szCs w:val="32"/>
        </w:rPr>
        <w:t>基干民兵</w:t>
      </w:r>
      <w:r>
        <w:rPr>
          <w:szCs w:val="32"/>
        </w:rPr>
        <w:t>专业队伍建设、训练演练、军事设施保护、重要目标防护和防护体系建设。</w:t>
      </w:r>
      <w:bookmarkEnd w:id="181"/>
      <w:r>
        <w:rPr>
          <w:rFonts w:hint="eastAsia"/>
          <w:b/>
          <w:bCs/>
          <w:szCs w:val="32"/>
        </w:rPr>
        <w:t>强化全民人防国防教育。</w:t>
      </w:r>
      <w:r>
        <w:rPr>
          <w:rFonts w:hint="eastAsia"/>
          <w:szCs w:val="32"/>
        </w:rPr>
        <w:t>在学校设立人防课程，以防空警报试鸣活动为载体，开展人防宣传教育</w:t>
      </w:r>
      <w:r>
        <w:rPr>
          <w:szCs w:val="32"/>
        </w:rPr>
        <w:t>“</w:t>
      </w:r>
      <w:r>
        <w:rPr>
          <w:rFonts w:hint="eastAsia"/>
          <w:szCs w:val="32"/>
        </w:rPr>
        <w:t>五进</w:t>
      </w:r>
      <w:r>
        <w:rPr>
          <w:szCs w:val="32"/>
        </w:rPr>
        <w:t>”</w:t>
      </w:r>
      <w:r>
        <w:rPr>
          <w:rFonts w:hint="eastAsia"/>
          <w:szCs w:val="32"/>
        </w:rPr>
        <w:t>活动，普及人防知识，确保人防教育全面覆盖。依托波密红色遗迹、国防教育基地等资源，</w:t>
      </w:r>
      <w:bookmarkStart w:id="182" w:name="OLE_LINK331"/>
      <w:r>
        <w:rPr>
          <w:rFonts w:hint="eastAsia"/>
          <w:szCs w:val="32"/>
        </w:rPr>
        <w:t>开发多样化教育内容，</w:t>
      </w:r>
      <w:bookmarkEnd w:id="182"/>
      <w:r>
        <w:rPr>
          <w:rFonts w:hint="eastAsia"/>
          <w:szCs w:val="32"/>
        </w:rPr>
        <w:t>丰富国防教育内容与形式。统筹推进国防教育与思想政治教育、精神文明建设，充分发挥松宗步兵学校旧址、十英雄纪念广场、易贡将军楼、中小学等场所国防教育功能。推动国防教育进校园、进社区、进企业，依托县级融媒体中心广泛开展群众性国防教育活动，做好</w:t>
      </w:r>
      <w:r>
        <w:rPr>
          <w:szCs w:val="32"/>
        </w:rPr>
        <w:t>“</w:t>
      </w:r>
      <w:r>
        <w:rPr>
          <w:rFonts w:hint="eastAsia"/>
          <w:szCs w:val="32"/>
        </w:rPr>
        <w:t>清明祭英烈</w:t>
      </w:r>
      <w:r>
        <w:rPr>
          <w:szCs w:val="32"/>
        </w:rPr>
        <w:t>”“</w:t>
      </w:r>
      <w:r>
        <w:rPr>
          <w:rFonts w:hint="eastAsia"/>
          <w:szCs w:val="32"/>
        </w:rPr>
        <w:t>烈士公祭日</w:t>
      </w:r>
      <w:r>
        <w:rPr>
          <w:szCs w:val="32"/>
        </w:rPr>
        <w:t>”</w:t>
      </w:r>
      <w:r>
        <w:rPr>
          <w:rFonts w:hint="eastAsia"/>
          <w:szCs w:val="32"/>
        </w:rPr>
        <w:t>等系列主题宣传教育。</w:t>
      </w:r>
      <w:bookmarkStart w:id="183" w:name="OLE_LINK64"/>
    </w:p>
    <w:p>
      <w:pPr>
        <w:rPr>
          <w:rFonts w:eastAsia="楷体"/>
          <w:b/>
          <w:bCs/>
          <w:szCs w:val="32"/>
        </w:rPr>
      </w:pPr>
      <w:bookmarkEnd w:id="180"/>
      <w:bookmarkEnd w:id="183"/>
      <w:r>
        <w:rPr>
          <w:rFonts w:eastAsia="楷体_GB2312" w:hint="eastAsia"/>
          <w:b/>
          <w:szCs w:val="32"/>
        </w:rPr>
        <w:t>推动</w:t>
      </w:r>
      <w:r>
        <w:rPr>
          <w:rFonts w:eastAsia="楷体_GB2312" w:hint="eastAsia"/>
          <w:b/>
          <w:bCs/>
          <w:szCs w:val="32"/>
        </w:rPr>
        <w:t>军民融合深</w:t>
      </w:r>
      <w:r>
        <w:rPr>
          <w:rFonts w:eastAsia="楷体_GB2312" w:hint="eastAsia"/>
          <w:b/>
          <w:szCs w:val="32"/>
        </w:rPr>
        <w:t>度发展。</w:t>
      </w:r>
      <w:r>
        <w:rPr>
          <w:rFonts w:hint="eastAsia"/>
          <w:szCs w:val="32"/>
        </w:rPr>
        <w:t>坚持军民结合、寓军于民方针，牢牢树立“把军民融合上升为国家战略”的要求，拓展军民融合范围，提升军民融合层次，充分调动军民双方积极性。深化“五共五固”活动，开展结对共建活动，促进军警民协同治边稳藏、强边固防，鼓励军民部分基础设施共建共享。完善军人基本生活保障服务，在交通出行、医疗就诊、子女教育等领域推行军人优先服务，强化退役军人安置与支持，构建全要素、多领域、高效益的军民融合深度发展格局。</w:t>
      </w:r>
    </w:p>
    <w:p>
      <w:bookmarkStart w:id="184" w:name="_Hlk217425257"/>
      <w:r>
        <w:rPr>
          <w:rFonts w:eastAsia="楷体_GB2312" w:hint="eastAsia"/>
          <w:b/>
          <w:szCs w:val="32"/>
        </w:rPr>
        <w:t>强化意识形态阵地建设与管理。</w:t>
      </w:r>
      <w:r>
        <w:rPr>
          <w:rFonts w:hint="eastAsia"/>
          <w:szCs w:val="32"/>
        </w:rPr>
        <w:t>全面落实意识形态工作责任制，推动党的创新理论系统化学习，巩固核心价值导向，强化新闻宣传和网络宣传一体化管理。完善阵地管理与风险防控，健全责任体系，强化风险研判。健全完善网络综合治理体系，加强对新媒体和自媒体的全过程监管，提高重大突发事件和敏感舆情分析研判处置水平。做好涉藏外宣工作，讲好新时代中国故事、西藏故事、林芝故事、波密故事。</w:t>
      </w:r>
      <w:bookmarkStart w:id="185" w:name="_Hlk217425339"/>
      <w:bookmarkEnd w:id="184"/>
    </w:p>
    <w:tbl>
      <w:tblPr>
        <w:tblpPr w:leftFromText="180" w:rightFromText="180" w:vertAnchor="text" w:horzAnchor="page" w:tblpX="1824" w:tblpY="245"/>
        <w:tblOverlap w:val="never"/>
        <w:tblW w:w="8222"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8222"/>
      </w:tblGrid>
      <w:tr>
        <w:trPr>
          <w:trHeight w:val="20"/>
        </w:trPr>
        <w:tc>
          <w:tcPr>
            <w:tcW w:w="8222" w:type="dxa"/>
            <w:tcBorders>
              <w:top w:val="single" w:sz="4" w:space="0" w:color="auto"/>
              <w:left w:val="single" w:sz="4" w:space="0" w:color="auto"/>
              <w:bottom w:val="single" w:sz="4" w:space="0" w:color="auto"/>
              <w:right w:val="single" w:sz="4" w:space="0" w:color="auto"/>
            </w:tcBorders>
            <w:shd w:val="clear" w:color="auto" w:fill="99A6B9"/>
            <w:vAlign w:val="center"/>
          </w:tcPr>
          <w:p>
            <w:pPr>
              <w:spacing w:line="240" w:lineRule="auto"/>
              <w:jc w:val="center"/>
              <w:rPr>
                <w:rFonts w:eastAsia="宋体"/>
                <w:b/>
                <w:bCs/>
                <w:sz w:val="18"/>
                <w:szCs w:val="18"/>
              </w:rPr>
            </w:pPr>
            <w:bookmarkEnd w:id="185"/>
            <w:r>
              <w:rPr>
                <w:rFonts w:ascii="方正楷体_GBK" w:eastAsia="方正楷体_GBK" w:hint="eastAsia"/>
                <w:sz w:val="18"/>
                <w:szCs w:val="18"/>
              </w:rPr>
              <w:t>专栏3   完善国防动员体系</w:t>
            </w:r>
          </w:p>
        </w:tc>
      </w:tr>
      <w:tr>
        <w:trPr>
          <w:trHeight w:val="20"/>
        </w:trPr>
        <w:tc>
          <w:tcPr>
            <w:tcW w:w="8222" w:type="dxa"/>
            <w:tcBorders>
              <w:top w:val="single" w:sz="4" w:space="0" w:color="auto"/>
              <w:left w:val="single" w:sz="4" w:space="0" w:color="auto"/>
              <w:bottom w:val="single" w:sz="4" w:space="0" w:color="auto"/>
              <w:right w:val="single" w:sz="4" w:space="0" w:color="auto"/>
            </w:tcBorders>
            <w:shd w:val="clear" w:color="auto" w:fill="CCECFF"/>
            <w:vAlign w:val="center"/>
          </w:tcPr>
          <w:p>
            <w:pPr>
              <w:spacing w:line="240" w:lineRule="auto"/>
              <w:ind w:rightChars="-31" w:right="-65"/>
              <w:rPr>
                <w:rFonts w:eastAsia="方正楷体_GBK"/>
                <w:sz w:val="18"/>
                <w:szCs w:val="18"/>
              </w:rPr>
            </w:pPr>
            <w:r>
              <w:rPr>
                <w:rFonts w:eastAsia="方正楷体_GBK"/>
                <w:sz w:val="18"/>
                <w:szCs w:val="18"/>
              </w:rPr>
              <w:t xml:space="preserve">01 </w:t>
            </w:r>
            <w:r>
              <w:rPr>
                <w:rFonts w:eastAsia="方正楷体_GBK" w:hint="eastAsia"/>
                <w:sz w:val="18"/>
                <w:szCs w:val="18"/>
              </w:rPr>
              <w:t>国防动员</w:t>
            </w:r>
          </w:p>
          <w:p>
            <w:pPr>
              <w:spacing w:line="240" w:lineRule="auto"/>
              <w:rPr>
                <w:rFonts w:eastAsia="宋体"/>
                <w:kern w:val="0"/>
                <w:sz w:val="18"/>
                <w:szCs w:val="18"/>
              </w:rPr>
            </w:pPr>
            <w:r>
              <w:rPr>
                <w:rFonts w:eastAsia="方正仿宋_GBK" w:hint="eastAsia"/>
                <w:sz w:val="18"/>
                <w:szCs w:val="18"/>
              </w:rPr>
              <w:t>实施波密县军警民训练基地建设项目、波密县波茂广场地下人防工程建设项目。</w:t>
            </w:r>
          </w:p>
        </w:tc>
      </w:tr>
    </w:tbl>
    <w:p>
      <w:bookmarkStart w:id="186" w:name="_Toc218406230"/>
      <w:r>
        <w:br w:type="page"/>
      </w:r>
    </w:p>
    <w:p>
      <w:pPr>
        <w:pStyle w:val="2"/>
        <w:spacing w:after="190" w:line="576" w:lineRule="exact"/>
      </w:pPr>
      <w:bookmarkStart w:id="187" w:name="_Toc223858413"/>
      <w:r>
        <w:t>第</w:t>
      </w:r>
      <w:r>
        <w:rPr>
          <w:rFonts w:hint="eastAsia"/>
        </w:rPr>
        <w:t>三</w:t>
      </w:r>
      <w:r>
        <w:t>节 促进宗教和睦团结</w:t>
      </w:r>
      <w:bookmarkEnd w:id="186"/>
      <w:bookmarkEnd w:id="187"/>
    </w:p>
    <w:p>
      <w:pPr>
        <w:rPr>
          <w:szCs w:val="21"/>
        </w:rPr>
      </w:pPr>
      <w:r>
        <w:rPr>
          <w:rFonts w:eastAsia="楷体_GB2312"/>
          <w:b/>
          <w:szCs w:val="32"/>
        </w:rPr>
        <w:t>构建积极健康宗教关系。</w:t>
      </w:r>
      <w:r>
        <w:rPr>
          <w:szCs w:val="21"/>
        </w:rPr>
        <w:t>坚持</w:t>
      </w:r>
      <w:r>
        <w:rPr>
          <w:rFonts w:hint="eastAsia"/>
          <w:szCs w:val="21"/>
        </w:rPr>
        <w:t>我国藏传佛教</w:t>
      </w:r>
      <w:r>
        <w:rPr>
          <w:szCs w:val="21"/>
        </w:rPr>
        <w:t>中国化方向，</w:t>
      </w:r>
      <w:r>
        <w:rPr>
          <w:rFonts w:hint="eastAsia"/>
          <w:szCs w:val="21"/>
        </w:rPr>
        <w:t>加强宗教事务治理法制化，</w:t>
      </w:r>
      <w:r>
        <w:rPr>
          <w:szCs w:val="21"/>
        </w:rPr>
        <w:t>坚持保护合法、制止非法、遏制极端、抵御渗透、打击犯罪，更好引导宗教与社会主义社会相适应。加强宗教界</w:t>
      </w:r>
      <w:r>
        <w:rPr>
          <w:rFonts w:hint="eastAsia"/>
          <w:szCs w:val="21"/>
        </w:rPr>
        <w:t>代表</w:t>
      </w:r>
      <w:r>
        <w:rPr>
          <w:szCs w:val="21"/>
        </w:rPr>
        <w:t>人士</w:t>
      </w:r>
      <w:r>
        <w:rPr>
          <w:rFonts w:hint="eastAsia"/>
          <w:szCs w:val="21"/>
        </w:rPr>
        <w:t>教育</w:t>
      </w:r>
      <w:r>
        <w:rPr>
          <w:szCs w:val="21"/>
        </w:rPr>
        <w:t>培养</w:t>
      </w:r>
      <w:r>
        <w:rPr>
          <w:rFonts w:hint="eastAsia"/>
          <w:szCs w:val="21"/>
        </w:rPr>
        <w:t>，</w:t>
      </w:r>
      <w:r>
        <w:rPr>
          <w:szCs w:val="21"/>
        </w:rPr>
        <w:t>建设一支政治上靠得住、宗教上有造诣、品德上能服众、关键时起作用的宗教教职人员队伍。</w:t>
      </w:r>
      <w:bookmarkStart w:id="188" w:name="OLE_LINK14"/>
      <w:r>
        <w:rPr>
          <w:rFonts w:hint="eastAsia"/>
          <w:szCs w:val="21"/>
        </w:rPr>
        <w:t>依法保障宗教信仰自由</w:t>
      </w:r>
      <w:bookmarkEnd w:id="188"/>
      <w:r>
        <w:rPr>
          <w:rFonts w:hint="eastAsia"/>
          <w:szCs w:val="21"/>
        </w:rPr>
        <w:t>，尊重少数民族风俗习惯，</w:t>
      </w:r>
      <w:r>
        <w:rPr>
          <w:szCs w:val="21"/>
        </w:rPr>
        <w:t>对宗教活动场所文物提供保护，保障正常宗教需求和合法宗教活动</w:t>
      </w:r>
      <w:r>
        <w:rPr>
          <w:rFonts w:hint="eastAsia"/>
          <w:szCs w:val="21"/>
        </w:rPr>
        <w:t>有序开展</w:t>
      </w:r>
      <w:r>
        <w:rPr>
          <w:szCs w:val="21"/>
        </w:rPr>
        <w:t>。</w:t>
      </w:r>
    </w:p>
    <w:p>
      <w:pPr>
        <w:rPr>
          <w:szCs w:val="21"/>
        </w:rPr>
      </w:pPr>
      <w:r>
        <w:rPr>
          <w:rFonts w:eastAsia="楷体_GB2312"/>
          <w:b/>
          <w:szCs w:val="32"/>
        </w:rPr>
        <w:t>改造建设宗教基础设施。</w:t>
      </w:r>
      <w:r>
        <w:rPr>
          <w:szCs w:val="21"/>
        </w:rPr>
        <w:t>重点改造提升康玉乡苯忠拉康、玉许乡江</w:t>
      </w:r>
      <w:r>
        <w:rPr>
          <w:rFonts w:hint="eastAsia"/>
          <w:szCs w:val="21"/>
        </w:rPr>
        <w:t>卡</w:t>
      </w:r>
      <w:r>
        <w:rPr>
          <w:szCs w:val="21"/>
        </w:rPr>
        <w:t>日追、玉许乡贡果寺等寺庙，保障倾多镇普龙寺</w:t>
      </w:r>
      <w:r>
        <w:rPr>
          <w:rFonts w:hint="eastAsia"/>
          <w:szCs w:val="21"/>
        </w:rPr>
        <w:t>和古乡巴卡寺主殿</w:t>
      </w:r>
      <w:r>
        <w:rPr>
          <w:szCs w:val="21"/>
        </w:rPr>
        <w:t>维修工作顺利进行，推进多吉乡曲宗寺、加达寺、通更次久拉康饮水项目</w:t>
      </w:r>
      <w:r>
        <w:rPr>
          <w:rFonts w:hint="eastAsia"/>
          <w:szCs w:val="21"/>
        </w:rPr>
        <w:t>，</w:t>
      </w:r>
      <w:r>
        <w:rPr>
          <w:szCs w:val="21"/>
        </w:rPr>
        <w:t>开展多吉乡曲宗寺配套用房建设项目和业务用房建设，不断改善宗教活动</w:t>
      </w:r>
      <w:r>
        <w:rPr>
          <w:rFonts w:hint="eastAsia"/>
          <w:szCs w:val="21"/>
        </w:rPr>
        <w:t>场所</w:t>
      </w:r>
      <w:r>
        <w:rPr>
          <w:szCs w:val="21"/>
        </w:rPr>
        <w:t>条件。</w:t>
      </w:r>
    </w:p>
    <w:p>
      <w:pPr>
        <w:rPr>
          <w:szCs w:val="21"/>
        </w:rPr>
      </w:pPr>
      <w:r>
        <w:rPr>
          <w:rFonts w:eastAsia="楷体_GB2312"/>
          <w:b/>
          <w:szCs w:val="32"/>
        </w:rPr>
        <w:t>加强宗教事务治理法</w:t>
      </w:r>
      <w:r>
        <w:rPr>
          <w:rFonts w:eastAsia="楷体_GB2312" w:hint="eastAsia"/>
          <w:b/>
          <w:szCs w:val="32"/>
        </w:rPr>
        <w:t>治</w:t>
      </w:r>
      <w:r>
        <w:rPr>
          <w:rFonts w:eastAsia="楷体_GB2312"/>
          <w:b/>
          <w:szCs w:val="32"/>
        </w:rPr>
        <w:t>化。</w:t>
      </w:r>
      <w:r>
        <w:rPr>
          <w:szCs w:val="21"/>
        </w:rPr>
        <w:t>依法管理宗教事务，教育引导信教群众牢固树立国家意识、公民意识、法治意识。</w:t>
      </w:r>
    </w:p>
    <w:tbl>
      <w:tblPr>
        <w:tblpPr w:leftFromText="180" w:rightFromText="180" w:vertAnchor="text" w:horzAnchor="page" w:tblpX="1824" w:tblpY="245"/>
        <w:tblOverlap w:val="never"/>
        <w:tblW w:w="8222"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8222"/>
      </w:tblGrid>
      <w:tr>
        <w:trPr>
          <w:trHeight w:val="20"/>
        </w:trPr>
        <w:tc>
          <w:tcPr>
            <w:tcW w:w="8222" w:type="dxa"/>
            <w:tcBorders>
              <w:top w:val="single" w:sz="4" w:space="0" w:color="auto"/>
              <w:left w:val="single" w:sz="4" w:space="0" w:color="auto"/>
              <w:bottom w:val="single" w:sz="4" w:space="0" w:color="auto"/>
              <w:right w:val="single" w:sz="4" w:space="0" w:color="auto"/>
            </w:tcBorders>
            <w:shd w:val="clear" w:color="auto" w:fill="C6D9F1"/>
            <w:vAlign w:val="center"/>
          </w:tcPr>
          <w:p>
            <w:pPr>
              <w:spacing w:line="240" w:lineRule="auto"/>
              <w:jc w:val="center"/>
              <w:rPr>
                <w:rFonts w:ascii="方正楷体_GBK" w:eastAsia="方正楷体_GBK"/>
                <w:sz w:val="18"/>
                <w:szCs w:val="18"/>
              </w:rPr>
            </w:pPr>
            <w:r>
              <w:rPr>
                <w:rFonts w:ascii="方正楷体_GBK" w:eastAsia="方正楷体_GBK" w:hint="eastAsia"/>
                <w:sz w:val="18"/>
                <w:szCs w:val="18"/>
              </w:rPr>
              <w:t>专栏4  促进宗教和睦团结</w:t>
            </w:r>
          </w:p>
        </w:tc>
      </w:tr>
      <w:tr>
        <w:trPr>
          <w:trHeight w:val="20"/>
        </w:trPr>
        <w:tc>
          <w:tcPr>
            <w:tcW w:w="8222" w:type="dxa"/>
            <w:tcBorders>
              <w:top w:val="single" w:sz="4" w:space="0" w:color="auto"/>
              <w:left w:val="single" w:sz="4" w:space="0" w:color="auto"/>
              <w:bottom w:val="single" w:sz="4" w:space="0" w:color="auto"/>
              <w:right w:val="single" w:sz="4" w:space="0" w:color="auto"/>
            </w:tcBorders>
            <w:shd w:val="clear" w:color="auto" w:fill="CCECFF"/>
            <w:vAlign w:val="center"/>
          </w:tcPr>
          <w:p>
            <w:pPr>
              <w:spacing w:line="240" w:lineRule="auto"/>
              <w:ind w:rightChars="-31" w:right="-65"/>
              <w:rPr>
                <w:rFonts w:eastAsia="方正楷体_GBK"/>
                <w:sz w:val="18"/>
                <w:szCs w:val="18"/>
              </w:rPr>
            </w:pPr>
            <w:r>
              <w:rPr>
                <w:rFonts w:eastAsia="方正楷体_GBK"/>
                <w:sz w:val="18"/>
                <w:szCs w:val="18"/>
              </w:rPr>
              <w:t xml:space="preserve">01 </w:t>
            </w:r>
            <w:r>
              <w:rPr>
                <w:rFonts w:eastAsia="方正楷体_GBK" w:hint="eastAsia"/>
                <w:sz w:val="18"/>
                <w:szCs w:val="18"/>
              </w:rPr>
              <w:t>改造建设宗教基础设施</w:t>
            </w:r>
          </w:p>
          <w:p>
            <w:pPr>
              <w:spacing w:line="240" w:lineRule="auto"/>
              <w:rPr>
                <w:rFonts w:eastAsia="宋体"/>
                <w:kern w:val="0"/>
                <w:sz w:val="18"/>
                <w:szCs w:val="18"/>
              </w:rPr>
            </w:pPr>
            <w:r>
              <w:rPr>
                <w:rFonts w:eastAsia="方正仿宋_GBK" w:hint="eastAsia"/>
                <w:sz w:val="18"/>
                <w:szCs w:val="18"/>
              </w:rPr>
              <w:t>实施倾多镇普龙寺、古乡巴卡寺主殿维修项目，维修康玉乡苯忠拉康等寺庙，开展各寺庙</w:t>
            </w:r>
            <w:bookmarkStart w:id="189" w:name="OLE_LINK100"/>
            <w:r>
              <w:rPr>
                <w:rFonts w:eastAsia="方正仿宋_GBK" w:hint="eastAsia"/>
                <w:sz w:val="18"/>
                <w:szCs w:val="18"/>
              </w:rPr>
              <w:t>院内亮化，实施多吉乡曲宗寺、加达寺、</w:t>
            </w:r>
            <w:bookmarkEnd w:id="189"/>
            <w:r>
              <w:rPr>
                <w:rFonts w:eastAsia="方正仿宋_GBK" w:hint="eastAsia"/>
                <w:sz w:val="18"/>
                <w:szCs w:val="18"/>
              </w:rPr>
              <w:t>通更次久拉康饮水项目，新建多吉乡寺管会加达寺、易贡乡寺管会成色寺党员服务站等寺管会附属设施，开展松宗寺僧舍、成色寺围墙等寺管会附属设施建设。</w:t>
            </w:r>
          </w:p>
        </w:tc>
      </w:tr>
    </w:tbl>
    <w:p>
      <w:pPr>
        <w:pStyle w:val="2"/>
        <w:spacing w:after="190" w:line="576" w:lineRule="exact"/>
      </w:pPr>
      <w:bookmarkStart w:id="190" w:name="_Toc218406231"/>
      <w:bookmarkStart w:id="191" w:name="_Toc223858414"/>
      <w:r>
        <w:t>第</w:t>
      </w:r>
      <w:r>
        <w:rPr>
          <w:rFonts w:hint="eastAsia"/>
        </w:rPr>
        <w:t>四</w:t>
      </w:r>
      <w:r>
        <w:t>节 推动</w:t>
      </w:r>
      <w:r>
        <w:rPr>
          <w:rFonts w:hint="eastAsia"/>
        </w:rPr>
        <w:t>精神文明与思想</w:t>
      </w:r>
      <w:r>
        <w:t>建设</w:t>
      </w:r>
      <w:bookmarkEnd w:id="190"/>
      <w:bookmarkEnd w:id="191"/>
    </w:p>
    <w:p>
      <w:pPr>
        <w:rPr>
          <w:szCs w:val="22"/>
        </w:rPr>
      </w:pPr>
      <w:r>
        <w:rPr>
          <w:rFonts w:eastAsia="楷体_GB2312" w:hint="eastAsia"/>
          <w:b/>
          <w:szCs w:val="32"/>
        </w:rPr>
        <w:t>强化思想政治教育。</w:t>
      </w:r>
      <w:r>
        <w:rPr>
          <w:rFonts w:hint="eastAsia"/>
          <w:szCs w:val="22"/>
        </w:rPr>
        <w:t>加强党的创新理论学习宣传，</w:t>
      </w:r>
      <w:r>
        <w:rPr>
          <w:rFonts w:hint="eastAsia"/>
          <w:szCs w:val="21"/>
        </w:rPr>
        <w:t>坚持不懈用习近平新时代中国特色社会主义思想凝心铸魂。</w:t>
      </w:r>
      <w:r>
        <w:rPr>
          <w:rFonts w:hint="eastAsia"/>
          <w:szCs w:val="22"/>
        </w:rPr>
        <w:t>深化青少年思想政治工作，引导学生树立正确</w:t>
      </w:r>
      <w:r>
        <w:rPr>
          <w:rFonts w:hint="eastAsia"/>
          <w:szCs w:val="21"/>
        </w:rPr>
        <w:t>国家观、历史观、民族观、文化观、宗教观。</w:t>
      </w:r>
      <w:r>
        <w:rPr>
          <w:rFonts w:hint="eastAsia"/>
          <w:szCs w:val="22"/>
        </w:rPr>
        <w:t>用好红色资源，弘扬“老西藏精神”与“两路精神”，引导农牧民群众知党恩、感党恩、听党话、跟党走，夯实团结奋斗思想基础。</w:t>
      </w:r>
    </w:p>
    <w:p>
      <w:pPr>
        <w:rPr>
          <w:szCs w:val="22"/>
        </w:rPr>
      </w:pPr>
      <w:r>
        <w:rPr>
          <w:rFonts w:eastAsia="楷体_GB2312" w:hint="eastAsia"/>
          <w:b/>
          <w:szCs w:val="32"/>
        </w:rPr>
        <w:t>践行核心价值观。</w:t>
      </w:r>
      <w:r>
        <w:rPr>
          <w:rFonts w:hint="eastAsia"/>
          <w:szCs w:val="22"/>
        </w:rPr>
        <w:t>创新社会主义核心价值观宣传形式，</w:t>
      </w:r>
      <w:r>
        <w:rPr>
          <w:rFonts w:hint="eastAsia"/>
          <w:szCs w:val="21"/>
        </w:rPr>
        <w:t>有计划、分层次开展社会主义核心价值体系宣传教育</w:t>
      </w:r>
      <w:r>
        <w:rPr>
          <w:rFonts w:hint="eastAsia"/>
          <w:szCs w:val="22"/>
        </w:rPr>
        <w:t>。</w:t>
      </w:r>
      <w:r>
        <w:rPr>
          <w:rFonts w:hint="eastAsia"/>
          <w:szCs w:val="21"/>
        </w:rPr>
        <w:t>将践行社会主义核心价值观融入制度建设与治理工作，形成科学有效的诉求表达机制、利益协调机制、矛盾调处机制、权益保障机制，最大限度增进社会和谐。</w:t>
      </w:r>
      <w:r>
        <w:rPr>
          <w:rFonts w:hint="eastAsia"/>
          <w:szCs w:val="22"/>
        </w:rPr>
        <w:t>加强诚信教育与契约精神培养，倡导科学精神，全面提升群众思想道德水平与文明素质。</w:t>
      </w:r>
    </w:p>
    <w:p>
      <w:pPr>
        <w:rPr>
          <w:szCs w:val="32"/>
        </w:rPr>
      </w:pPr>
      <w:r>
        <w:rPr>
          <w:rFonts w:eastAsia="楷体_GB2312" w:hint="eastAsia"/>
          <w:b/>
          <w:szCs w:val="32"/>
        </w:rPr>
        <w:t>培育基层精神文明。</w:t>
      </w:r>
      <w:r>
        <w:rPr>
          <w:rFonts w:hint="eastAsia"/>
          <w:szCs w:val="22"/>
        </w:rPr>
        <w:t>发挥党员干部带头作用，深入开展群众性精神文明创建活动。因地制宜完善村规民约，推广文明积分制，提升群众自我管理能力。倡导科学文明生活理念，</w:t>
      </w:r>
      <w:r>
        <w:rPr>
          <w:rFonts w:hint="eastAsia"/>
          <w:szCs w:val="32"/>
        </w:rPr>
        <w:t>增强人民群众的国家意识、民主法治意识和社会责任意识。加强诚信教育，倡导契约精神、科学精神，加强社会信誉制度体系建设，提高人民文明素养和文明程度。</w:t>
      </w:r>
      <w:bookmarkStart w:id="192" w:name="OLE_LINK38"/>
    </w:p>
    <w:p>
      <w:pPr>
        <w:rPr>
          <w:rFonts w:hint="eastAsia"/>
          <w:szCs w:val="21"/>
        </w:rPr>
      </w:pPr>
    </w:p>
    <w:p>
      <w:pPr>
        <w:pStyle w:val="2"/>
        <w:spacing w:after="190" w:line="576" w:lineRule="exact"/>
      </w:pPr>
      <w:bookmarkStart w:id="193" w:name="_Toc218406232"/>
      <w:bookmarkStart w:id="194" w:name="_Toc223858415"/>
      <w:bookmarkEnd w:id="192"/>
      <w:r>
        <w:t>第</w:t>
      </w:r>
      <w:r>
        <w:rPr>
          <w:rFonts w:hint="eastAsia"/>
        </w:rPr>
        <w:t>五</w:t>
      </w:r>
      <w:r>
        <w:t xml:space="preserve">节 </w:t>
      </w:r>
      <w:bookmarkStart w:id="195" w:name="_Hlk217417328"/>
      <w:r>
        <w:rPr>
          <w:rFonts w:hint="eastAsia"/>
        </w:rPr>
        <w:t>协同推进法治与社会治安</w:t>
      </w:r>
      <w:bookmarkEnd w:id="193"/>
      <w:bookmarkEnd w:id="194"/>
      <w:bookmarkEnd w:id="195"/>
    </w:p>
    <w:p>
      <w:pPr>
        <w:rPr>
          <w:szCs w:val="32"/>
        </w:rPr>
      </w:pPr>
      <w:bookmarkStart w:id="196" w:name="_Hlk217434273"/>
      <w:bookmarkStart w:id="197" w:name="OLE_LINK391"/>
      <w:r>
        <w:rPr>
          <w:rFonts w:eastAsia="楷体_GB2312"/>
          <w:b/>
          <w:szCs w:val="32"/>
        </w:rPr>
        <w:t>加强社会治安综合防控</w:t>
      </w:r>
      <w:r>
        <w:rPr>
          <w:rFonts w:eastAsia="楷体_GB2312" w:hint="eastAsia"/>
          <w:b/>
          <w:szCs w:val="32"/>
        </w:rPr>
        <w:t>。</w:t>
      </w:r>
      <w:r>
        <w:rPr>
          <w:rFonts w:hint="eastAsia"/>
          <w:bCs/>
          <w:szCs w:val="32"/>
        </w:rPr>
        <w:t>开展常态化扫黑除恶</w:t>
      </w:r>
      <w:r>
        <w:rPr>
          <w:rFonts w:hint="eastAsia"/>
          <w:szCs w:val="32"/>
        </w:rPr>
        <w:t>和打击整治黄赌毒违法犯罪，实施专项整治行动。推进数字化执法，扩大监控覆盖区域，解放警力用于复杂案件调查与高风险区域防控。完善举报机制，开通线上线下举报渠道，提升执法效率。搭建“立体化、智慧化、网格化”巡防管控格局，公安部门牵头，</w:t>
      </w:r>
      <w:r>
        <w:rPr>
          <w:szCs w:val="32"/>
        </w:rPr>
        <w:t>整合社区安保、志愿者等各方力量，建立起空中有监控、地面有巡逻、社区有联防的全方位防控体系。利用无人机巡查，动态监控重点区域，聚焦社区矛盾调解与安全隐患排查。鼓励多元主体参与，培育居民与企业志愿者队伍，开展联防联治活动。</w:t>
      </w:r>
    </w:p>
    <w:p>
      <w:pPr>
        <w:rPr>
          <w:szCs w:val="32"/>
        </w:rPr>
      </w:pPr>
      <w:bookmarkStart w:id="198" w:name="_Hlk217434370"/>
      <w:bookmarkEnd w:id="196"/>
      <w:r>
        <w:rPr>
          <w:rFonts w:eastAsia="楷体_GB2312" w:hint="eastAsia"/>
          <w:b/>
          <w:szCs w:val="32"/>
        </w:rPr>
        <w:t>提高基层治理能力。</w:t>
      </w:r>
      <w:r>
        <w:rPr>
          <w:rFonts w:hint="eastAsia"/>
          <w:szCs w:val="32"/>
        </w:rPr>
        <w:t>深入推进抓党建促基层治理，强化基层政权建设，</w:t>
      </w:r>
      <w:bookmarkStart w:id="199" w:name="OLE_LINK336"/>
      <w:r>
        <w:rPr>
          <w:rFonts w:hint="eastAsia"/>
          <w:szCs w:val="32"/>
        </w:rPr>
        <w:t>完善共建共治共享社会治理制度。建好用好雪亮工程和综治信息化平台，推进县乡两级综治中心实体化运行和规范化建设，</w:t>
      </w:r>
      <w:bookmarkStart w:id="200" w:name="OLE_LINK337"/>
      <w:r>
        <w:rPr>
          <w:rFonts w:hint="eastAsia"/>
          <w:szCs w:val="32"/>
        </w:rPr>
        <w:t>加强综治中心规范化建设，</w:t>
      </w:r>
      <w:bookmarkEnd w:id="200"/>
      <w:r>
        <w:rPr>
          <w:rFonts w:hint="eastAsia"/>
          <w:szCs w:val="32"/>
        </w:rPr>
        <w:t>持续深化拓展“三级和议”、“</w:t>
      </w:r>
      <w:r>
        <w:rPr>
          <w:szCs w:val="32"/>
        </w:rPr>
        <w:t>3+1</w:t>
      </w:r>
      <w:r>
        <w:rPr>
          <w:rFonts w:hint="eastAsia"/>
          <w:szCs w:val="32"/>
        </w:rPr>
        <w:t>”、“</w:t>
      </w:r>
      <w:bookmarkStart w:id="201" w:name="OLE_LINK338"/>
      <w:r>
        <w:rPr>
          <w:rFonts w:hint="eastAsia"/>
          <w:szCs w:val="32"/>
        </w:rPr>
        <w:t>先行调解</w:t>
      </w:r>
      <w:r>
        <w:rPr>
          <w:szCs w:val="32"/>
        </w:rPr>
        <w:t>+</w:t>
      </w:r>
      <w:r>
        <w:rPr>
          <w:rFonts w:hint="eastAsia"/>
          <w:szCs w:val="32"/>
        </w:rPr>
        <w:t>司法确认</w:t>
      </w:r>
      <w:bookmarkEnd w:id="201"/>
      <w:r>
        <w:rPr>
          <w:rFonts w:hint="eastAsia"/>
          <w:szCs w:val="32"/>
        </w:rPr>
        <w:t>”等工作模式，</w:t>
      </w:r>
      <w:bookmarkStart w:id="202" w:name="OLE_LINK2"/>
      <w:r>
        <w:rPr>
          <w:rFonts w:hint="eastAsia"/>
          <w:szCs w:val="32"/>
        </w:rPr>
        <w:t>促进基层治理精细化、精准化、服务化。实施智慧广电乡村工程，推动基础设施数字化、智能化升级，</w:t>
      </w:r>
      <w:bookmarkStart w:id="203" w:name="OLE_LINK11"/>
      <w:r>
        <w:rPr>
          <w:rFonts w:hint="eastAsia"/>
          <w:szCs w:val="32"/>
        </w:rPr>
        <w:t>推进</w:t>
      </w:r>
      <w:r>
        <w:rPr>
          <w:szCs w:val="32"/>
        </w:rPr>
        <w:t>“</w:t>
      </w:r>
      <w:r>
        <w:rPr>
          <w:rFonts w:hint="eastAsia"/>
          <w:szCs w:val="32"/>
        </w:rPr>
        <w:t>数字</w:t>
      </w:r>
      <w:r>
        <w:rPr>
          <w:szCs w:val="32"/>
        </w:rPr>
        <w:t>+”</w:t>
      </w:r>
      <w:r>
        <w:rPr>
          <w:rFonts w:hint="eastAsia"/>
          <w:szCs w:val="32"/>
        </w:rPr>
        <w:t>、</w:t>
      </w:r>
      <w:r>
        <w:rPr>
          <w:szCs w:val="32"/>
        </w:rPr>
        <w:t>“</w:t>
      </w:r>
      <w:r>
        <w:rPr>
          <w:rFonts w:hint="eastAsia"/>
          <w:szCs w:val="32"/>
        </w:rPr>
        <w:t>智慧广电</w:t>
      </w:r>
      <w:r>
        <w:rPr>
          <w:szCs w:val="32"/>
        </w:rPr>
        <w:t>+”</w:t>
      </w:r>
      <w:r>
        <w:rPr>
          <w:rFonts w:hint="eastAsia"/>
          <w:szCs w:val="32"/>
        </w:rPr>
        <w:t>政务服务向基层延伸，</w:t>
      </w:r>
      <w:bookmarkEnd w:id="203"/>
      <w:r>
        <w:rPr>
          <w:rFonts w:hint="eastAsia"/>
          <w:szCs w:val="32"/>
        </w:rPr>
        <w:t>加强乡村教育、医疗、文化数字化建设。建立农村信息化服务平台，实现村务公开、在线办事、远程医疗等功能。优化基层法庭布局，积极推行流动法庭模式，便捷开展巡回审理与法律服务。</w:t>
      </w:r>
      <w:r>
        <w:rPr>
          <w:rFonts w:hint="eastAsia"/>
          <w:szCs w:val="21"/>
        </w:rPr>
        <w:t>创新村民协商议事形式，保障群众全程参与决策，统筹各方力量激发自治活力，构建智慧高效、法治完备、多元参与的基层治理新格局。</w:t>
      </w:r>
      <w:bookmarkStart w:id="204" w:name="OLE_LINK3"/>
      <w:bookmarkStart w:id="205" w:name="OLE_LINK335"/>
      <w:bookmarkStart w:id="206" w:name="OLE_LINK41"/>
      <w:bookmarkEnd w:id="199"/>
      <w:bookmarkEnd w:id="202"/>
    </w:p>
    <w:p>
      <w:pPr>
        <w:rPr>
          <w:bCs/>
          <w:szCs w:val="30"/>
        </w:rPr>
      </w:pPr>
      <w:bookmarkStart w:id="207" w:name="_Hlk217434409"/>
      <w:bookmarkEnd w:id="197"/>
      <w:bookmarkEnd w:id="198"/>
      <w:bookmarkEnd w:id="204"/>
      <w:bookmarkEnd w:id="205"/>
      <w:bookmarkEnd w:id="206"/>
      <w:r>
        <w:rPr>
          <w:rFonts w:eastAsia="楷体_GB2312" w:hint="eastAsia"/>
          <w:b/>
          <w:bCs/>
          <w:szCs w:val="21"/>
        </w:rPr>
        <w:t>推进全面依法治理。</w:t>
      </w:r>
      <w:r>
        <w:rPr>
          <w:rFonts w:hint="eastAsia"/>
          <w:b/>
          <w:szCs w:val="32"/>
        </w:rPr>
        <w:t>强化法治宣传与教育。</w:t>
      </w:r>
      <w:r>
        <w:rPr>
          <w:rFonts w:hint="eastAsia"/>
          <w:bCs/>
          <w:szCs w:val="32"/>
        </w:rPr>
        <w:t>深入学习宣传习近平法治思想，</w:t>
      </w:r>
      <w:r>
        <w:rPr>
          <w:bCs/>
          <w:szCs w:val="32"/>
        </w:rPr>
        <w:t>持续深入推进宪法、民法典等法律法规宣传教育，</w:t>
      </w:r>
      <w:r>
        <w:rPr>
          <w:rFonts w:hint="eastAsia"/>
          <w:bCs/>
          <w:szCs w:val="32"/>
        </w:rPr>
        <w:t>谋划</w:t>
      </w:r>
      <w:r>
        <w:rPr>
          <w:bCs/>
          <w:szCs w:val="32"/>
        </w:rPr>
        <w:t>落实“</w:t>
      </w:r>
      <w:r>
        <w:rPr>
          <w:rFonts w:hint="eastAsia"/>
          <w:bCs/>
          <w:szCs w:val="32"/>
        </w:rPr>
        <w:t>九</w:t>
      </w:r>
      <w:r>
        <w:rPr>
          <w:bCs/>
          <w:szCs w:val="32"/>
        </w:rPr>
        <w:t>五”普法</w:t>
      </w:r>
      <w:r>
        <w:rPr>
          <w:rFonts w:hint="eastAsia"/>
          <w:bCs/>
          <w:szCs w:val="32"/>
        </w:rPr>
        <w:t>规划。</w:t>
      </w:r>
      <w:r>
        <w:rPr>
          <w:bCs/>
          <w:szCs w:val="32"/>
        </w:rPr>
        <w:t>坚持全民普法和守法作为依法治县的长期基础性工作</w:t>
      </w:r>
      <w:r>
        <w:rPr>
          <w:rFonts w:hint="eastAsia"/>
          <w:bCs/>
          <w:szCs w:val="32"/>
        </w:rPr>
        <w:t>，</w:t>
      </w:r>
      <w:r>
        <w:rPr>
          <w:bCs/>
          <w:szCs w:val="32"/>
        </w:rPr>
        <w:t>加强城乡法治宣传，实施</w:t>
      </w:r>
      <w:r>
        <w:rPr>
          <w:rFonts w:hint="eastAsia"/>
          <w:bCs/>
          <w:szCs w:val="32"/>
        </w:rPr>
        <w:t>多维度、全方位的普法入村到户行动，</w:t>
      </w:r>
      <w:r>
        <w:rPr>
          <w:bCs/>
          <w:szCs w:val="32"/>
        </w:rPr>
        <w:t>通过多渠道普及法律常识，提升群众法治素养。</w:t>
      </w:r>
      <w:r>
        <w:rPr>
          <w:rFonts w:hint="eastAsia"/>
          <w:bCs/>
          <w:szCs w:val="32"/>
        </w:rPr>
        <w:t>强化普法队伍与阵地建设，构建覆盖广泛、深入人心的普法网络。</w:t>
      </w:r>
      <w:r>
        <w:rPr>
          <w:rFonts w:hint="eastAsia"/>
          <w:b/>
          <w:szCs w:val="32"/>
        </w:rPr>
        <w:t>提升执法与司法效能。</w:t>
      </w:r>
      <w:r>
        <w:rPr>
          <w:bCs/>
          <w:szCs w:val="32"/>
        </w:rPr>
        <w:t>严格规范行政执法程序，依法依规行使职权，确保执法行为规范透明</w:t>
      </w:r>
      <w:r>
        <w:rPr>
          <w:rFonts w:hint="eastAsia"/>
          <w:bCs/>
          <w:szCs w:val="32"/>
        </w:rPr>
        <w:t>，构建高效透明行政执法体系。</w:t>
      </w:r>
      <w:r>
        <w:rPr>
          <w:bCs/>
          <w:szCs w:val="32"/>
        </w:rPr>
        <w:t>完善执法协同机制，加强信息共享与联合执法，探索跨部门、跨领域的综合执法模式，减少重复检查，提升执法效率，降低执法成本。推进人民调解工作，完善调解组织网络，健全社区、乡镇调解室功能，提升基层纠纷化解能力。</w:t>
      </w:r>
      <w:r>
        <w:rPr>
          <w:rFonts w:hint="eastAsia"/>
          <w:bCs/>
          <w:szCs w:val="32"/>
        </w:rPr>
        <w:t>强化行政执法队伍建设，</w:t>
      </w:r>
      <w:r>
        <w:rPr>
          <w:bCs/>
          <w:szCs w:val="32"/>
        </w:rPr>
        <w:t>定期组织执法人员参加业务培训与法律知识学习，提升执法能力与法治素养。</w:t>
      </w:r>
      <w:r>
        <w:rPr>
          <w:rFonts w:hint="eastAsia"/>
          <w:b/>
          <w:bCs/>
          <w:szCs w:val="21"/>
        </w:rPr>
        <w:t>创新司法便民利民举措。</w:t>
      </w:r>
      <w:bookmarkStart w:id="208" w:name="OLE_LINK397"/>
      <w:r>
        <w:rPr>
          <w:szCs w:val="21"/>
        </w:rPr>
        <w:t>拓宽公共法律服务供给渠道，整合各类法律服务资源，提供多样化、个性化、多层次公共法律服务。</w:t>
      </w:r>
      <w:bookmarkEnd w:id="208"/>
      <w:r>
        <w:rPr>
          <w:szCs w:val="21"/>
        </w:rPr>
        <w:t>创新服务方式、优化服务流程、加强业务协作，扎实做好残疾人、农民工、妇女、青少年等重点群体公共法律服务。</w:t>
      </w:r>
    </w:p>
    <w:tbl>
      <w:tblPr>
        <w:tblpPr w:leftFromText="180" w:rightFromText="180" w:vertAnchor="text" w:horzAnchor="page" w:tblpX="1824" w:tblpY="245"/>
        <w:tblOverlap w:val="never"/>
        <w:tblW w:w="8222"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8222"/>
      </w:tblGrid>
      <w:tr>
        <w:trPr>
          <w:trHeight w:val="20"/>
        </w:trPr>
        <w:tc>
          <w:tcPr>
            <w:tcW w:w="8222" w:type="dxa"/>
            <w:tcBorders>
              <w:top w:val="single" w:sz="4" w:space="0" w:color="auto"/>
              <w:left w:val="single" w:sz="4" w:space="0" w:color="auto"/>
              <w:bottom w:val="single" w:sz="4" w:space="0" w:color="auto"/>
              <w:right w:val="single" w:sz="4" w:space="0" w:color="auto"/>
            </w:tcBorders>
            <w:shd w:val="clear" w:color="auto" w:fill="A5B5C9"/>
            <w:vAlign w:val="center"/>
          </w:tcPr>
          <w:p>
            <w:pPr>
              <w:spacing w:line="240" w:lineRule="auto"/>
              <w:jc w:val="center"/>
              <w:rPr>
                <w:rFonts w:ascii="方正楷体_GBK" w:eastAsia="方正楷体_GBK"/>
                <w:sz w:val="18"/>
                <w:szCs w:val="18"/>
              </w:rPr>
            </w:pPr>
            <w:bookmarkEnd w:id="207"/>
            <w:r>
              <w:rPr>
                <w:rFonts w:ascii="方正楷体_GBK" w:eastAsia="方正楷体_GBK" w:hint="eastAsia"/>
                <w:sz w:val="18"/>
                <w:szCs w:val="18"/>
              </w:rPr>
              <w:t>专栏5  协同推进法治与社会治安</w:t>
            </w:r>
          </w:p>
        </w:tc>
      </w:tr>
      <w:tr>
        <w:trPr>
          <w:trHeight w:val="20"/>
        </w:trPr>
        <w:tc>
          <w:tcPr>
            <w:tcW w:w="8222" w:type="dxa"/>
            <w:tcBorders>
              <w:top w:val="single" w:sz="4" w:space="0" w:color="auto"/>
              <w:left w:val="single" w:sz="4" w:space="0" w:color="auto"/>
              <w:bottom w:val="single" w:sz="4" w:space="0" w:color="auto"/>
              <w:right w:val="single" w:sz="4" w:space="0" w:color="auto"/>
            </w:tcBorders>
            <w:shd w:val="clear" w:color="auto" w:fill="CCECFF"/>
            <w:vAlign w:val="center"/>
          </w:tcPr>
          <w:p>
            <w:pPr>
              <w:spacing w:line="240" w:lineRule="auto"/>
              <w:rPr>
                <w:rFonts w:eastAsia="方正楷体_GBK"/>
                <w:sz w:val="18"/>
                <w:szCs w:val="18"/>
              </w:rPr>
            </w:pPr>
            <w:r>
              <w:rPr>
                <w:rFonts w:eastAsia="方正楷体_GBK"/>
                <w:sz w:val="18"/>
                <w:szCs w:val="18"/>
              </w:rPr>
              <w:t xml:space="preserve">01 </w:t>
            </w:r>
            <w:r>
              <w:rPr>
                <w:rFonts w:eastAsia="方正楷体_GBK" w:hint="eastAsia"/>
                <w:sz w:val="18"/>
                <w:szCs w:val="18"/>
              </w:rPr>
              <w:t>推进全面依法治理</w:t>
            </w:r>
          </w:p>
          <w:p>
            <w:pPr>
              <w:spacing w:line="240" w:lineRule="auto"/>
              <w:rPr>
                <w:rFonts w:eastAsia="宋体"/>
                <w:kern w:val="0"/>
                <w:sz w:val="18"/>
                <w:szCs w:val="18"/>
              </w:rPr>
            </w:pPr>
            <w:r>
              <w:rPr>
                <w:rFonts w:eastAsia="方正仿宋_GBK" w:hint="eastAsia"/>
                <w:sz w:val="18"/>
                <w:szCs w:val="18"/>
              </w:rPr>
              <w:t>实施波密县司法局玉普司法所业务用房建设项目、波密县司法局八盖司法所业务用房建设项目、波密县司法局古乡司法所业务用房建设项目、波密县司法局多吉司法所业务用房建设项目。</w:t>
            </w:r>
          </w:p>
        </w:tc>
      </w:tr>
    </w:tbl>
    <w:p>
      <w:bookmarkStart w:id="209" w:name="OLE_LINK6"/>
      <w:bookmarkStart w:id="210" w:name="_Toc218406233"/>
    </w:p>
    <w:p/>
    <w:p/>
    <w:p>
      <w:pPr>
        <w:pStyle w:val="2"/>
        <w:spacing w:after="190" w:line="576" w:lineRule="exact"/>
      </w:pPr>
      <w:bookmarkStart w:id="211" w:name="_Toc223858416"/>
      <w:r>
        <w:rPr>
          <w:rFonts w:hint="eastAsia"/>
        </w:rPr>
        <w:t>第六节</w:t>
      </w:r>
      <w:r>
        <w:t xml:space="preserve"> </w:t>
      </w:r>
      <w:r>
        <w:rPr>
          <w:rFonts w:hint="eastAsia"/>
        </w:rPr>
        <w:t>保障公共安全秩序</w:t>
      </w:r>
      <w:bookmarkEnd w:id="209"/>
      <w:bookmarkEnd w:id="210"/>
      <w:bookmarkEnd w:id="211"/>
    </w:p>
    <w:p>
      <w:pPr>
        <w:rPr>
          <w:rFonts w:eastAsia="楷体_GB2312"/>
          <w:b/>
          <w:szCs w:val="32"/>
        </w:rPr>
      </w:pPr>
      <w:r>
        <w:rPr>
          <w:rFonts w:eastAsia="楷体_GB2312" w:hint="eastAsia"/>
          <w:b/>
          <w:szCs w:val="32"/>
        </w:rPr>
        <w:t>提升基础设施韧性。</w:t>
      </w:r>
      <w:r>
        <w:rPr>
          <w:rFonts w:hint="eastAsia"/>
          <w:szCs w:val="32"/>
        </w:rPr>
        <w:t>提高市政公用设施安全，定期对供水、供电、供气、排水、市政消火栓等关键系统进行巡检与维护，加快老旧管网更新改造，完善设施建设运营管理机制。</w:t>
      </w:r>
      <w:r>
        <w:rPr>
          <w:rFonts w:hint="eastAsia"/>
          <w:szCs w:val="21"/>
        </w:rPr>
        <w:t>严格落实建筑抗震、防洪、防火等建筑规范，</w:t>
      </w:r>
      <w:r>
        <w:rPr>
          <w:rFonts w:hint="eastAsia"/>
          <w:szCs w:val="36"/>
        </w:rPr>
        <w:t>统一加宽县城内防火隔离带，</w:t>
      </w:r>
      <w:bookmarkStart w:id="212" w:name="OLE_LINK88"/>
      <w:r>
        <w:rPr>
          <w:rFonts w:hint="eastAsia"/>
          <w:szCs w:val="36"/>
        </w:rPr>
        <w:t>建设松宗镇专职消防救援站，</w:t>
      </w:r>
      <w:r>
        <w:rPr>
          <w:rFonts w:hint="eastAsia"/>
          <w:szCs w:val="21"/>
        </w:rPr>
        <w:t>加大对</w:t>
      </w:r>
      <w:r>
        <w:rPr>
          <w:szCs w:val="21"/>
        </w:rPr>
        <w:t>G318</w:t>
      </w:r>
      <w:r>
        <w:rPr>
          <w:rFonts w:hint="eastAsia"/>
          <w:szCs w:val="21"/>
        </w:rPr>
        <w:t>运输线基础设施的维护与升级投入，</w:t>
      </w:r>
      <w:bookmarkEnd w:id="212"/>
      <w:r>
        <w:rPr>
          <w:rFonts w:hint="eastAsia"/>
          <w:szCs w:val="21"/>
        </w:rPr>
        <w:t>提升桥梁、堤坝、电网等关键基础设施抗灾性能。加快建设临时避难场所及配套设施，</w:t>
      </w:r>
      <w:bookmarkStart w:id="213" w:name="OLE_LINK71"/>
      <w:r>
        <w:rPr>
          <w:rFonts w:hint="eastAsia"/>
          <w:szCs w:val="21"/>
        </w:rPr>
        <w:t>建设“平战结合，平急两用”基础设施</w:t>
      </w:r>
      <w:bookmarkEnd w:id="213"/>
      <w:r>
        <w:rPr>
          <w:rFonts w:hint="eastAsia"/>
          <w:szCs w:val="21"/>
        </w:rPr>
        <w:t>，重点推进波密县应急救援直升机停机坪建设项目、波密县应急救援中心建设项目。</w:t>
      </w:r>
    </w:p>
    <w:p>
      <w:pPr>
        <w:rPr>
          <w:szCs w:val="21"/>
        </w:rPr>
      </w:pPr>
      <w:bookmarkStart w:id="214" w:name="OLE_LINK354"/>
      <w:r>
        <w:rPr>
          <w:rFonts w:eastAsia="楷体_GB2312" w:hint="eastAsia"/>
          <w:b/>
          <w:szCs w:val="32"/>
        </w:rPr>
        <w:t>增强应急救援能力。</w:t>
      </w:r>
      <w:r>
        <w:rPr>
          <w:rFonts w:hint="eastAsia"/>
          <w:b/>
          <w:bCs/>
          <w:szCs w:val="22"/>
        </w:rPr>
        <w:t>构建高效应急响应体系。</w:t>
      </w:r>
      <w:bookmarkStart w:id="215" w:name="OLE_LINK355"/>
      <w:bookmarkEnd w:id="214"/>
      <w:r>
        <w:rPr>
          <w:rFonts w:hint="eastAsia"/>
          <w:szCs w:val="21"/>
        </w:rPr>
        <w:t>紧盯危化、森林防火、地震洪涝等自然灾害、交通、建筑、消防等重点领域，全方位开展安全隐患排查整治活动。</w:t>
      </w:r>
      <w:bookmarkStart w:id="216" w:name="OLE_LINK377"/>
      <w:r>
        <w:rPr>
          <w:rFonts w:hint="eastAsia"/>
          <w:szCs w:val="21"/>
        </w:rPr>
        <w:t>完善信息发布渠道，针对偏远地区优化通信保障，确保预警信息快速、精准触达城乡基层。加强公众防灾教育，普及预警信号含义与应对措施，提升社会响应效率。</w:t>
      </w:r>
      <w:bookmarkStart w:id="217" w:name="OLE_LINK378"/>
      <w:bookmarkEnd w:id="216"/>
      <w:r>
        <w:rPr>
          <w:rFonts w:hint="eastAsia"/>
          <w:szCs w:val="21"/>
        </w:rPr>
        <w:t>加强G</w:t>
      </w:r>
      <w:r>
        <w:rPr>
          <w:szCs w:val="21"/>
        </w:rPr>
        <w:t>318</w:t>
      </w:r>
      <w:r>
        <w:rPr>
          <w:rFonts w:hint="eastAsia"/>
          <w:szCs w:val="21"/>
        </w:rPr>
        <w:t>古乡段等路段道路安全隐患整治。</w:t>
      </w:r>
      <w:r>
        <w:rPr>
          <w:rFonts w:hint="eastAsia"/>
          <w:b/>
          <w:bCs/>
          <w:szCs w:val="21"/>
        </w:rPr>
        <w:t>加强灾害防治社会协同。</w:t>
      </w:r>
      <w:bookmarkEnd w:id="217"/>
      <w:r>
        <w:rPr>
          <w:rFonts w:hint="eastAsia"/>
          <w:szCs w:val="21"/>
        </w:rPr>
        <w:t>设立科普宣教基地，</w:t>
      </w:r>
      <w:r>
        <w:rPr>
          <w:rFonts w:hint="eastAsia"/>
        </w:rPr>
        <w:t>普及应急避险知识，开展多元化灾害防治与科普教育。积极引导公众参与</w:t>
      </w:r>
      <w:r>
        <w:rPr>
          <w:rFonts w:hint="eastAsia"/>
          <w:szCs w:val="21"/>
        </w:rPr>
        <w:t>应急体验、自救互救等</w:t>
      </w:r>
      <w:r>
        <w:rPr>
          <w:rFonts w:hint="eastAsia"/>
        </w:rPr>
        <w:t>活动，全面提升全社会防灾减灾意识及应急处置能力。</w:t>
      </w:r>
      <w:bookmarkStart w:id="218" w:name="_Hlk217406965"/>
      <w:bookmarkEnd w:id="215"/>
      <w:r>
        <w:rPr>
          <w:rFonts w:hint="eastAsia"/>
          <w:szCs w:val="21"/>
        </w:rPr>
        <w:t>建立专业化、常备化救援队伍，配备先进装备，定期开展跨区域、多灾种实战演练。加强部门协同联动，形成预测、防控、救援全链条体系。健全物资储备与调配机制，优化救灾物资种类与分布，确保灾后物资及时到位。</w:t>
      </w:r>
    </w:p>
    <w:p>
      <w:pPr>
        <w:rPr>
          <w:szCs w:val="32"/>
        </w:rPr>
      </w:pPr>
      <w:r>
        <w:rPr>
          <w:rFonts w:eastAsia="楷体_GB2312" w:hint="eastAsia"/>
          <w:b/>
          <w:szCs w:val="32"/>
        </w:rPr>
        <w:t>完善安全监管体系。</w:t>
      </w:r>
      <w:r>
        <w:rPr>
          <w:rFonts w:hint="eastAsia"/>
          <w:b/>
          <w:bCs/>
          <w:szCs w:val="32"/>
        </w:rPr>
        <w:t>健全落实安全生产责任体系。</w:t>
      </w:r>
      <w:r>
        <w:rPr>
          <w:rFonts w:hint="eastAsia"/>
          <w:szCs w:val="32"/>
        </w:rPr>
        <w:t>明确各级管理部门职责，构建从上到下的责任链条，确保安全生产政策落地。完善安全管理制度，督促企业定期开展安全培训与应急演练，提升风险防控能力。强化建设过程监管，严把安全设施、设计审查关，督促落实做好“三同时”，防范因流程违规导致的安全隐患。</w:t>
      </w:r>
      <w:r>
        <w:rPr>
          <w:szCs w:val="21"/>
        </w:rPr>
        <w:t>抓紧事后监管督导，确保安全隐患整改到位。</w:t>
      </w:r>
      <w:r>
        <w:rPr>
          <w:rFonts w:hint="eastAsia"/>
          <w:b/>
          <w:bCs/>
          <w:szCs w:val="32"/>
        </w:rPr>
        <w:t>创新监管方式方法。</w:t>
      </w:r>
      <w:r>
        <w:rPr>
          <w:rFonts w:hint="eastAsia"/>
          <w:szCs w:val="21"/>
        </w:rPr>
        <w:t>构建集监测、预警、监管于一体的智慧应急综合管理平台，对地震、洪水、泥石流等灾害及重点区域风险开展实时在线监控与精准预警。积极引入社会监督，探索第三方专业评估机制，形成政府监管、社会参与、专业支撑的安全治理新模式。</w:t>
      </w:r>
      <w:bookmarkStart w:id="219" w:name="_Hlk217434660"/>
      <w:r>
        <w:rPr>
          <w:rFonts w:hint="eastAsia"/>
          <w:b/>
          <w:bCs/>
          <w:szCs w:val="32"/>
        </w:rPr>
        <w:t>全面提升市场综合监管效能。</w:t>
      </w:r>
      <w:r>
        <w:rPr>
          <w:rFonts w:hint="eastAsia"/>
          <w:szCs w:val="32"/>
        </w:rPr>
        <w:t>持续巩固全国食品安全示范县成果，分层分级管理经营主体，实施餐饮企业</w:t>
      </w:r>
      <w:r>
        <w:rPr>
          <w:szCs w:val="32"/>
        </w:rPr>
        <w:t>“</w:t>
      </w:r>
      <w:r>
        <w:rPr>
          <w:rFonts w:hint="eastAsia"/>
          <w:szCs w:val="32"/>
        </w:rPr>
        <w:t>红黑榜</w:t>
      </w:r>
      <w:r>
        <w:rPr>
          <w:szCs w:val="32"/>
        </w:rPr>
        <w:t>”</w:t>
      </w:r>
      <w:r>
        <w:rPr>
          <w:rFonts w:hint="eastAsia"/>
          <w:szCs w:val="32"/>
        </w:rPr>
        <w:t>靶向监管，</w:t>
      </w:r>
      <w:bookmarkStart w:id="220" w:name="OLE_LINK72"/>
      <w:r>
        <w:rPr>
          <w:rFonts w:hint="eastAsia"/>
          <w:szCs w:val="32"/>
        </w:rPr>
        <w:t>防范游客大规模食物中毒事件。</w:t>
      </w:r>
      <w:bookmarkEnd w:id="220"/>
      <w:r>
        <w:rPr>
          <w:rFonts w:hint="eastAsia"/>
          <w:szCs w:val="32"/>
        </w:rPr>
        <w:t>建立食品药品计量检测中心，加强预包装食品、农药残留物、兽残留物检测。在各乡镇设立学校快检室、农贸市场，保障师生、广大消费者食品安全。消除粮食安全管理存在的薄弱环节，加大隐患排查力度，坚决筑牢粮食安全防线。加强危化品、烟花爆竹、特种设备、工贸、建筑施工、交通运输等领域安全监管，重点推进食品药品、工业产品、特种设备及基建设施设备购置项目，推进产品检验检测认证一站式服务中心建设和</w:t>
      </w:r>
      <w:r>
        <w:rPr>
          <w:szCs w:val="32"/>
        </w:rPr>
        <w:t>“</w:t>
      </w:r>
      <w:r>
        <w:rPr>
          <w:rFonts w:hint="eastAsia"/>
          <w:szCs w:val="32"/>
        </w:rPr>
        <w:t>智慧波密、市场监管</w:t>
      </w:r>
      <w:r>
        <w:rPr>
          <w:szCs w:val="32"/>
        </w:rPr>
        <w:t>”</w:t>
      </w:r>
      <w:r>
        <w:rPr>
          <w:rFonts w:hint="eastAsia"/>
          <w:szCs w:val="32"/>
        </w:rPr>
        <w:t>综合一体化平台建设等。</w:t>
      </w:r>
      <w:bookmarkStart w:id="221" w:name="OLE_LINK13"/>
      <w:bookmarkStart w:id="222" w:name="OLE_LINK410"/>
      <w:bookmarkEnd w:id="218"/>
      <w:bookmarkEnd w:id="219"/>
    </w:p>
    <w:p>
      <w:pPr>
        <w:rPr>
          <w:szCs w:val="32"/>
        </w:rPr>
      </w:pPr>
    </w:p>
    <w:p>
      <w:pPr>
        <w:rPr>
          <w:szCs w:val="32"/>
        </w:rPr>
      </w:pPr>
    </w:p>
    <w:p>
      <w:pPr>
        <w:rPr>
          <w:szCs w:val="32"/>
        </w:rPr>
      </w:pPr>
    </w:p>
    <w:tbl>
      <w:tblPr>
        <w:tblpPr w:leftFromText="180" w:rightFromText="180" w:vertAnchor="text" w:horzAnchor="page" w:tblpX="1824" w:tblpY="245"/>
        <w:tblOverlap w:val="never"/>
        <w:tblW w:w="8222"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8222"/>
      </w:tblGrid>
      <w:tr>
        <w:trPr>
          <w:trHeight w:val="274"/>
        </w:trPr>
        <w:tc>
          <w:tcPr>
            <w:tcW w:w="8222" w:type="dxa"/>
            <w:tcBorders>
              <w:top w:val="single" w:sz="4" w:space="0" w:color="auto"/>
              <w:left w:val="single" w:sz="4" w:space="0" w:color="auto"/>
              <w:bottom w:val="single" w:sz="4" w:space="0" w:color="auto"/>
              <w:right w:val="single" w:sz="4" w:space="0" w:color="auto"/>
            </w:tcBorders>
            <w:shd w:val="clear" w:color="auto" w:fill="C6D9F1"/>
            <w:vAlign w:val="center"/>
          </w:tcPr>
          <w:p>
            <w:pPr>
              <w:spacing w:line="240" w:lineRule="auto"/>
              <w:jc w:val="center"/>
              <w:rPr>
                <w:rFonts w:ascii="方正楷体_GBK" w:eastAsia="方正楷体_GBK"/>
                <w:sz w:val="18"/>
                <w:szCs w:val="18"/>
              </w:rPr>
            </w:pPr>
            <w:bookmarkEnd w:id="221"/>
            <w:bookmarkEnd w:id="222"/>
            <w:r>
              <w:rPr>
                <w:rFonts w:ascii="方正楷体_GBK" w:eastAsia="方正楷体_GBK" w:hint="eastAsia"/>
                <w:sz w:val="18"/>
                <w:szCs w:val="18"/>
              </w:rPr>
              <w:t>专栏</w:t>
            </w:r>
            <w:r>
              <w:rPr>
                <w:rFonts w:ascii="方正楷体_GBK" w:eastAsia="方正楷体_GBK"/>
                <w:sz w:val="18"/>
                <w:szCs w:val="18"/>
              </w:rPr>
              <w:t xml:space="preserve">6   </w:t>
            </w:r>
            <w:r>
              <w:rPr>
                <w:rFonts w:ascii="方正楷体_GBK" w:eastAsia="方正楷体_GBK" w:hint="eastAsia"/>
                <w:sz w:val="18"/>
                <w:szCs w:val="18"/>
              </w:rPr>
              <w:t>保障公共安全秩序</w:t>
            </w:r>
          </w:p>
        </w:tc>
      </w:tr>
      <w:tr>
        <w:trPr>
          <w:trHeight w:val="248"/>
        </w:trPr>
        <w:tc>
          <w:tcPr>
            <w:tcW w:w="8222" w:type="dxa"/>
            <w:tcBorders>
              <w:top w:val="single" w:sz="4" w:space="0" w:color="auto"/>
              <w:left w:val="single" w:sz="4" w:space="0" w:color="auto"/>
              <w:bottom w:val="single" w:sz="4" w:space="0" w:color="auto"/>
              <w:right w:val="single" w:sz="4" w:space="0" w:color="auto"/>
            </w:tcBorders>
            <w:shd w:val="clear" w:color="auto" w:fill="CCECFF"/>
            <w:vAlign w:val="center"/>
          </w:tcPr>
          <w:p>
            <w:pPr>
              <w:spacing w:line="240" w:lineRule="auto"/>
              <w:rPr>
                <w:rFonts w:eastAsia="方正楷体_GBK"/>
                <w:sz w:val="18"/>
                <w:szCs w:val="18"/>
              </w:rPr>
            </w:pPr>
            <w:r>
              <w:rPr>
                <w:rFonts w:eastAsia="方正楷体_GBK"/>
                <w:sz w:val="18"/>
                <w:szCs w:val="18"/>
              </w:rPr>
              <w:t xml:space="preserve">01 </w:t>
            </w:r>
            <w:r>
              <w:rPr>
                <w:rFonts w:eastAsia="方正楷体_GBK" w:hint="eastAsia"/>
                <w:sz w:val="18"/>
                <w:szCs w:val="18"/>
              </w:rPr>
              <w:t>提升基础设施韧性</w:t>
            </w:r>
          </w:p>
          <w:p>
            <w:pPr>
              <w:spacing w:line="240" w:lineRule="auto"/>
              <w:rPr>
                <w:rFonts w:eastAsia="方正仿宋_GBK"/>
                <w:sz w:val="18"/>
                <w:szCs w:val="18"/>
              </w:rPr>
            </w:pPr>
            <w:bookmarkStart w:id="223" w:name="_GoBack"/>
            <w:bookmarkEnd w:id="223"/>
            <w:r>
              <w:rPr>
                <w:rFonts w:eastAsia="方正仿宋_GBK" w:hint="eastAsia"/>
                <w:sz w:val="18"/>
                <w:szCs w:val="18"/>
              </w:rPr>
              <w:t>新建波密县古乡、松宗、玉普、多吉、八盖、玉许、康玉、易贡、倾多地震台。</w:t>
            </w:r>
          </w:p>
        </w:tc>
      </w:tr>
      <w:tr>
        <w:trPr>
          <w:trHeight w:val="1603"/>
        </w:trPr>
        <w:tc>
          <w:tcPr>
            <w:tcW w:w="8222" w:type="dxa"/>
            <w:tcBorders>
              <w:top w:val="single" w:sz="4" w:space="0" w:color="auto"/>
              <w:left w:val="single" w:sz="4" w:space="0" w:color="auto"/>
              <w:bottom w:val="single" w:sz="4" w:space="0" w:color="auto"/>
              <w:right w:val="single" w:sz="4" w:space="0" w:color="auto"/>
            </w:tcBorders>
            <w:shd w:val="clear" w:color="auto" w:fill="CCECFF"/>
            <w:vAlign w:val="center"/>
          </w:tcPr>
          <w:p>
            <w:pPr>
              <w:spacing w:line="240" w:lineRule="auto"/>
              <w:rPr>
                <w:rFonts w:eastAsia="方正楷体_GBK"/>
                <w:sz w:val="18"/>
                <w:szCs w:val="18"/>
              </w:rPr>
            </w:pPr>
            <w:bookmarkStart w:id="224" w:name="_Toc218406234"/>
            <w:r>
              <w:rPr>
                <w:rFonts w:eastAsia="方正楷体_GBK"/>
                <w:sz w:val="18"/>
                <w:szCs w:val="18"/>
              </w:rPr>
              <w:t xml:space="preserve">02 </w:t>
            </w:r>
            <w:r>
              <w:rPr>
                <w:rFonts w:eastAsia="方正楷体_GBK" w:hint="eastAsia"/>
                <w:sz w:val="18"/>
                <w:szCs w:val="18"/>
              </w:rPr>
              <w:t>完善安全监管体系</w:t>
            </w:r>
          </w:p>
          <w:p>
            <w:pPr>
              <w:spacing w:line="240" w:lineRule="auto"/>
              <w:rPr>
                <w:rFonts w:eastAsia="方正仿宋_GBK"/>
                <w:sz w:val="18"/>
                <w:szCs w:val="18"/>
              </w:rPr>
            </w:pPr>
            <w:r>
              <w:rPr>
                <w:rFonts w:eastAsia="方正仿宋_GBK" w:hint="eastAsia"/>
                <w:sz w:val="18"/>
                <w:szCs w:val="18"/>
              </w:rPr>
              <w:t>实施波密县食品药品计量检验检测中心</w:t>
            </w:r>
            <w:r>
              <w:rPr>
                <w:rFonts w:eastAsia="方正仿宋_GBK"/>
                <w:sz w:val="18"/>
                <w:szCs w:val="18"/>
              </w:rPr>
              <w:t>建设项目</w:t>
            </w:r>
            <w:r>
              <w:rPr>
                <w:rFonts w:eastAsia="方正仿宋_GBK" w:hint="eastAsia"/>
                <w:sz w:val="18"/>
                <w:szCs w:val="18"/>
              </w:rPr>
              <w:t>；</w:t>
            </w:r>
            <w:bookmarkStart w:id="225" w:name="OLE_LINK16"/>
            <w:r>
              <w:rPr>
                <w:rFonts w:eastAsia="方正仿宋_GBK" w:hint="eastAsia"/>
                <w:sz w:val="18"/>
                <w:szCs w:val="18"/>
              </w:rPr>
              <w:t>食品药品、工业产品、特种设备及基建设施设备购置</w:t>
            </w:r>
            <w:bookmarkEnd w:id="225"/>
            <w:r>
              <w:rPr>
                <w:rFonts w:eastAsia="方正仿宋_GBK" w:hint="eastAsia"/>
                <w:sz w:val="18"/>
                <w:szCs w:val="18"/>
              </w:rPr>
              <w:t>项目；波密县各学校、特困中心、集中供餐、集体食堂、大型农贸市场快检室建设、</w:t>
            </w:r>
            <w:bookmarkStart w:id="226" w:name="OLE_LINK19"/>
            <w:r>
              <w:rPr>
                <w:rFonts w:eastAsia="方正仿宋_GBK" w:hint="eastAsia"/>
                <w:sz w:val="18"/>
                <w:szCs w:val="18"/>
              </w:rPr>
              <w:t>设备试剂采购、基建装饰及聘用或购买工作人员服务经费</w:t>
            </w:r>
            <w:bookmarkEnd w:id="226"/>
            <w:r>
              <w:rPr>
                <w:rFonts w:eastAsia="方正仿宋_GBK" w:hint="eastAsia"/>
                <w:sz w:val="18"/>
                <w:szCs w:val="18"/>
              </w:rPr>
              <w:t>建设项目；波密县“智慧波密、市场监管”综合一体化平台、</w:t>
            </w:r>
            <w:bookmarkStart w:id="227" w:name="OLE_LINK21"/>
            <w:r>
              <w:rPr>
                <w:rFonts w:eastAsia="方正仿宋_GBK" w:hint="eastAsia"/>
                <w:sz w:val="18"/>
                <w:szCs w:val="18"/>
              </w:rPr>
              <w:t>设施设备中心（食药、计量、特种设备、工业产品质量等）指挥中心附属设施建设二期项目；旅游市场产品（首饰、虫草农产品、工艺产品等）检验检测认证一站式服务中心建设项目；</w:t>
            </w:r>
            <w:bookmarkEnd w:id="227"/>
            <w:r>
              <w:rPr>
                <w:rFonts w:eastAsia="方正仿宋_GBK" w:hint="eastAsia"/>
                <w:sz w:val="18"/>
                <w:szCs w:val="18"/>
              </w:rPr>
              <w:t>松宗市场监管所办公场所基础设施建设项目；</w:t>
            </w:r>
            <w:bookmarkStart w:id="228" w:name="OLE_LINK39"/>
            <w:r>
              <w:rPr>
                <w:rFonts w:eastAsia="方正仿宋_GBK" w:hint="eastAsia"/>
                <w:sz w:val="18"/>
                <w:szCs w:val="18"/>
              </w:rPr>
              <w:t>购置执法装备、信息和现代化执法辅助检验检测设备、市场巡查单人交通工具等</w:t>
            </w:r>
            <w:bookmarkEnd w:id="228"/>
            <w:r>
              <w:rPr>
                <w:rFonts w:eastAsia="方正仿宋_GBK" w:hint="eastAsia"/>
                <w:sz w:val="18"/>
                <w:szCs w:val="18"/>
              </w:rPr>
              <w:t>等</w:t>
            </w:r>
            <w:bookmarkStart w:id="229" w:name="OLE_LINK40"/>
            <w:r>
              <w:rPr>
                <w:rFonts w:eastAsia="方正仿宋_GBK" w:hint="eastAsia"/>
                <w:sz w:val="18"/>
                <w:szCs w:val="18"/>
              </w:rPr>
              <w:t>行政执法能力提升</w:t>
            </w:r>
            <w:bookmarkEnd w:id="229"/>
            <w:r>
              <w:rPr>
                <w:rFonts w:eastAsia="方正仿宋_GBK" w:hint="eastAsia"/>
                <w:sz w:val="18"/>
                <w:szCs w:val="18"/>
              </w:rPr>
              <w:t>建设项目；交通工具、绿化硬化附属设施设备等建设项目，全县特种设备全链条安全隐患排查(聘请专业第三方)建设项目。</w:t>
            </w:r>
          </w:p>
        </w:tc>
      </w:tr>
    </w:tbl>
    <w:p>
      <w:pPr>
        <w:pStyle w:val="1"/>
        <w:spacing w:after="190" w:line="576" w:lineRule="exact"/>
        <w:ind w:firstLine="420"/>
      </w:pPr>
      <w:r>
        <w:br w:type="page"/>
      </w:r>
    </w:p>
    <w:p>
      <w:pPr>
        <w:pStyle w:val="1"/>
        <w:spacing w:after="190" w:line="576" w:lineRule="exact"/>
      </w:pPr>
      <w:bookmarkStart w:id="230" w:name="_Toc223858417"/>
      <w:r>
        <w:t>第</w:t>
      </w:r>
      <w:r>
        <w:rPr>
          <w:rFonts w:hint="eastAsia"/>
        </w:rPr>
        <w:t>四</w:t>
      </w:r>
      <w:r>
        <w:t>章 夯基筑本，构建现代化产业体系</w:t>
      </w:r>
      <w:bookmarkEnd w:id="224"/>
      <w:bookmarkEnd w:id="230"/>
    </w:p>
    <w:p>
      <w:pPr>
        <w:pStyle w:val="2"/>
        <w:spacing w:after="190" w:line="576" w:lineRule="exact"/>
      </w:pPr>
      <w:bookmarkStart w:id="231" w:name="_Toc218406235"/>
      <w:bookmarkStart w:id="232" w:name="_Toc223858418"/>
      <w:r>
        <w:t>第一节 构建波密全域旅游发展新格局</w:t>
      </w:r>
      <w:bookmarkEnd w:id="231"/>
      <w:bookmarkEnd w:id="232"/>
    </w:p>
    <w:p>
      <w:pPr>
        <w:rPr>
          <w:szCs w:val="32"/>
        </w:rPr>
      </w:pPr>
      <w:r>
        <w:rPr>
          <w:szCs w:val="32"/>
        </w:rPr>
        <w:t>加快构建产品多样、业态多元、全域联动、协调发展的旅游产业体系，锚定“藏东南旅游集散中心、全国红色旅游融合发展基地、高原生态康养旅游目的地”三大发展目标，打造“雪域桃源，多彩波密”旅游品牌</w:t>
      </w:r>
      <w:r>
        <w:rPr>
          <w:rFonts w:hint="eastAsia"/>
          <w:szCs w:val="32"/>
        </w:rPr>
        <w:t>，</w:t>
      </w:r>
      <w:r>
        <w:rPr>
          <w:szCs w:val="32"/>
        </w:rPr>
        <w:t>将文旅产业打造成全县经济社会发展的重要支柱产业，助力林芝市</w:t>
      </w:r>
      <w:r>
        <w:rPr>
          <w:rFonts w:hint="eastAsia"/>
          <w:szCs w:val="32"/>
        </w:rPr>
        <w:t>建设全国重点生态文化旅游区</w:t>
      </w:r>
      <w:r>
        <w:rPr>
          <w:szCs w:val="32"/>
        </w:rPr>
        <w:t>。</w:t>
      </w:r>
      <w:r>
        <w:rPr>
          <w:rFonts w:hint="eastAsia"/>
          <w:szCs w:val="32"/>
        </w:rPr>
        <w:t>力争到</w:t>
      </w:r>
      <w:r>
        <w:rPr>
          <w:szCs w:val="32"/>
        </w:rPr>
        <w:t>2030</w:t>
      </w:r>
      <w:r>
        <w:rPr>
          <w:rFonts w:hint="eastAsia"/>
          <w:szCs w:val="32"/>
        </w:rPr>
        <w:t>年，波密县年游客接待量达到</w:t>
      </w:r>
      <w:r>
        <w:rPr>
          <w:szCs w:val="32"/>
        </w:rPr>
        <w:t>465</w:t>
      </w:r>
      <w:r>
        <w:rPr>
          <w:rFonts w:hint="eastAsia"/>
          <w:szCs w:val="32"/>
        </w:rPr>
        <w:t>万人次，</w:t>
      </w:r>
      <w:r>
        <w:rPr>
          <w:szCs w:val="32"/>
        </w:rPr>
        <w:t>A</w:t>
      </w:r>
      <w:r>
        <w:rPr>
          <w:rFonts w:hint="eastAsia"/>
          <w:szCs w:val="32"/>
        </w:rPr>
        <w:t>级景区数量达到</w:t>
      </w:r>
      <w:r>
        <w:rPr>
          <w:szCs w:val="32"/>
        </w:rPr>
        <w:t>8</w:t>
      </w:r>
      <w:r>
        <w:rPr>
          <w:rFonts w:hint="eastAsia"/>
          <w:szCs w:val="32"/>
        </w:rPr>
        <w:t>个。</w:t>
      </w:r>
    </w:p>
    <w:p>
      <w:pPr>
        <w:rPr>
          <w:b/>
          <w:bCs/>
          <w:szCs w:val="32"/>
        </w:rPr>
      </w:pPr>
      <w:r>
        <w:rPr>
          <w:rFonts w:eastAsia="楷体_GB2312"/>
          <w:b/>
          <w:bCs/>
          <w:szCs w:val="32"/>
        </w:rPr>
        <w:t>优化文旅空间布局。</w:t>
      </w:r>
      <w:r>
        <w:rPr>
          <w:b/>
          <w:bCs/>
          <w:szCs w:val="32"/>
        </w:rPr>
        <w:t>构建藏东南旅游协作新格局。</w:t>
      </w:r>
      <w:r>
        <w:rPr>
          <w:szCs w:val="32"/>
        </w:rPr>
        <w:t>深化G318沿线城市交流合作，</w:t>
      </w:r>
      <w:r>
        <w:rPr>
          <w:rFonts w:hint="eastAsia"/>
          <w:szCs w:val="32"/>
        </w:rPr>
        <w:t>与巴宜区、工布江达县共建“</w:t>
      </w:r>
      <w:r>
        <w:rPr>
          <w:szCs w:val="32"/>
        </w:rPr>
        <w:t>G318</w:t>
      </w:r>
      <w:r>
        <w:rPr>
          <w:rFonts w:hint="eastAsia"/>
          <w:szCs w:val="32"/>
        </w:rPr>
        <w:t>·中国最美景观大道”，</w:t>
      </w:r>
      <w:bookmarkStart w:id="233" w:name="OLE_LINK42"/>
      <w:r>
        <w:rPr>
          <w:rFonts w:hint="eastAsia"/>
          <w:szCs w:val="32"/>
        </w:rPr>
        <w:t>与墨脱县共建“神奇波墨”品牌，</w:t>
      </w:r>
      <w:r>
        <w:rPr>
          <w:szCs w:val="32"/>
        </w:rPr>
        <w:t>打造区域协作典范</w:t>
      </w:r>
      <w:r>
        <w:rPr>
          <w:rFonts w:hint="eastAsia"/>
          <w:szCs w:val="32"/>
        </w:rPr>
        <w:t>，</w:t>
      </w:r>
      <w:bookmarkEnd w:id="233"/>
      <w:r>
        <w:rPr>
          <w:rFonts w:hint="eastAsia"/>
          <w:szCs w:val="32"/>
        </w:rPr>
        <w:t>共建</w:t>
      </w:r>
      <w:r>
        <w:rPr>
          <w:szCs w:val="32"/>
        </w:rPr>
        <w:t>“市场共拓、品牌共塑、资源共享”的文旅产业新格局，将波密打造为藏东南旅游发展的“桥头堡”。</w:t>
      </w:r>
      <w:r>
        <w:rPr>
          <w:b/>
          <w:bCs/>
          <w:szCs w:val="32"/>
        </w:rPr>
        <w:t>建设</w:t>
      </w:r>
      <w:r>
        <w:rPr>
          <w:rFonts w:hint="eastAsia"/>
          <w:b/>
          <w:bCs/>
          <w:szCs w:val="32"/>
        </w:rPr>
        <w:t>新</w:t>
      </w:r>
      <w:r>
        <w:rPr>
          <w:b/>
          <w:bCs/>
          <w:szCs w:val="32"/>
        </w:rPr>
        <w:t>茶马古道文化旅游</w:t>
      </w:r>
      <w:r>
        <w:rPr>
          <w:rFonts w:hint="eastAsia"/>
          <w:b/>
          <w:bCs/>
          <w:szCs w:val="32"/>
        </w:rPr>
        <w:t>廊道</w:t>
      </w:r>
      <w:r>
        <w:rPr>
          <w:b/>
          <w:bCs/>
          <w:szCs w:val="32"/>
        </w:rPr>
        <w:t>。</w:t>
      </w:r>
      <w:r>
        <w:rPr>
          <w:szCs w:val="32"/>
        </w:rPr>
        <w:t>以G318—帕隆藏布—易贡藏布为旅游发展主轴，依托雪山冰川、森林花海、高山牧场、河流峡谷等生态资源打造顶级生态景观走廊，</w:t>
      </w:r>
      <w:r>
        <w:rPr>
          <w:rFonts w:hint="eastAsia"/>
          <w:szCs w:val="32"/>
        </w:rPr>
        <w:t>与巴宜区、八宿县等共建新</w:t>
      </w:r>
      <w:r>
        <w:rPr>
          <w:szCs w:val="32"/>
        </w:rPr>
        <w:t>茶马古道文化旅游</w:t>
      </w:r>
      <w:r>
        <w:rPr>
          <w:rFonts w:hint="eastAsia"/>
          <w:szCs w:val="32"/>
        </w:rPr>
        <w:t>廊道</w:t>
      </w:r>
      <w:r>
        <w:rPr>
          <w:szCs w:val="32"/>
        </w:rPr>
        <w:t>。</w:t>
      </w:r>
    </w:p>
    <w:p>
      <w:pPr>
        <w:rPr>
          <w:szCs w:val="32"/>
        </w:rPr>
      </w:pPr>
      <w:r>
        <w:rPr>
          <w:rFonts w:eastAsia="楷体_GB2312"/>
          <w:b/>
          <w:bCs/>
          <w:szCs w:val="32"/>
        </w:rPr>
        <w:t>加快优质景区建设。</w:t>
      </w:r>
      <w:r>
        <w:rPr>
          <w:b/>
          <w:bCs/>
          <w:szCs w:val="32"/>
        </w:rPr>
        <w:t>聚力创A级旅游景区集群</w:t>
      </w:r>
      <w:r>
        <w:rPr>
          <w:szCs w:val="32"/>
        </w:rPr>
        <w:t>。加快已有景区提档改造，推进岗云杉林景区</w:t>
      </w:r>
      <w:r>
        <w:rPr>
          <w:rFonts w:hint="eastAsia"/>
          <w:szCs w:val="32"/>
        </w:rPr>
        <w:t>与白普龙沟景区</w:t>
      </w:r>
      <w:r>
        <w:rPr>
          <w:szCs w:val="32"/>
        </w:rPr>
        <w:t>4A级景区创建工作，打造嘎瓦龙景区</w:t>
      </w:r>
      <w:r>
        <w:rPr>
          <w:rFonts w:hint="eastAsia"/>
          <w:szCs w:val="32"/>
        </w:rPr>
        <w:t>、易贡藏布大峡谷等</w:t>
      </w:r>
      <w:r>
        <w:rPr>
          <w:szCs w:val="32"/>
        </w:rPr>
        <w:t>3A级景区群落，加强景区之间联动合作。</w:t>
      </w:r>
      <w:r>
        <w:rPr>
          <w:b/>
          <w:bCs/>
          <w:szCs w:val="32"/>
        </w:rPr>
        <w:t>加快景区精品化升级。</w:t>
      </w:r>
      <w:r>
        <w:rPr>
          <w:szCs w:val="32"/>
        </w:rPr>
        <w:t>推进易贡湖、朗秋</w:t>
      </w:r>
      <w:r>
        <w:rPr>
          <w:rFonts w:hint="eastAsia"/>
          <w:szCs w:val="32"/>
        </w:rPr>
        <w:t>冰川</w:t>
      </w:r>
      <w:r>
        <w:rPr>
          <w:szCs w:val="32"/>
        </w:rPr>
        <w:t>、朱西村落等精品景区打造，积极谋划开发林珠隆巴、日卡古村落等旅游综合项目，</w:t>
      </w:r>
      <w:r>
        <w:rPr>
          <w:rFonts w:hint="eastAsia"/>
          <w:szCs w:val="32"/>
        </w:rPr>
        <w:t>建设冰川博物馆，</w:t>
      </w:r>
      <w:r>
        <w:rPr>
          <w:szCs w:val="32"/>
        </w:rPr>
        <w:t>打造一批“小而精”的优质景区景点。</w:t>
      </w:r>
      <w:r>
        <w:rPr>
          <w:b/>
          <w:bCs/>
          <w:szCs w:val="32"/>
        </w:rPr>
        <w:t>串联打造红色旅游景区。</w:t>
      </w:r>
      <w:r>
        <w:rPr>
          <w:szCs w:val="32"/>
        </w:rPr>
        <w:t>挖掘G318红色文化遗迹，实施G318沿线</w:t>
      </w:r>
      <w:r>
        <w:rPr>
          <w:rFonts w:hint="eastAsia"/>
          <w:szCs w:val="32"/>
        </w:rPr>
        <w:t>遗址遗迹保护升级</w:t>
      </w:r>
      <w:r>
        <w:rPr>
          <w:szCs w:val="32"/>
        </w:rPr>
        <w:t>工程，完善全县红色旅游产品体系，建设全国红色旅游融合发展示范区。</w:t>
      </w:r>
      <w:r>
        <w:rPr>
          <w:b/>
          <w:bCs/>
          <w:szCs w:val="32"/>
        </w:rPr>
        <w:t>创新景区经营管理。</w:t>
      </w:r>
      <w:r>
        <w:rPr>
          <w:szCs w:val="32"/>
        </w:rPr>
        <w:t>构建“景区管理+营销拓展”双轮驱动体系，对景区实施精细化管理，优化景区经营模式，提升景区核心竞争力。</w:t>
      </w:r>
    </w:p>
    <w:p>
      <w:pPr>
        <w:rPr>
          <w:szCs w:val="32"/>
        </w:rPr>
      </w:pPr>
      <w:r>
        <w:rPr>
          <w:rFonts w:eastAsia="楷体_GB2312"/>
          <w:b/>
          <w:bCs/>
          <w:szCs w:val="32"/>
        </w:rPr>
        <w:t>完善旅游基础设施和服务体系。</w:t>
      </w:r>
      <w:r>
        <w:rPr>
          <w:b/>
          <w:bCs/>
          <w:szCs w:val="32"/>
        </w:rPr>
        <w:t>提升交通基础设施支撑。</w:t>
      </w:r>
      <w:r>
        <w:rPr>
          <w:szCs w:val="32"/>
        </w:rPr>
        <w:t>推进G318文化旅游配套服务设施提升工程，</w:t>
      </w:r>
      <w:r>
        <w:rPr>
          <w:rFonts w:hint="eastAsia"/>
          <w:szCs w:val="32"/>
        </w:rPr>
        <w:t>加快布局旅游集散中心，</w:t>
      </w:r>
      <w:r>
        <w:rPr>
          <w:szCs w:val="32"/>
        </w:rPr>
        <w:t>因地制宜设置服务驿站、停车场、充电桩、加油站、厕所等设施；加大偏远小众景点入林道路、观景步道、观景台、旅游驿站、标识标牌等旅游基础设施建设。</w:t>
      </w:r>
      <w:r>
        <w:rPr>
          <w:rFonts w:hint="eastAsia"/>
          <w:b/>
          <w:bCs/>
          <w:szCs w:val="32"/>
        </w:rPr>
        <w:t>强化吃、住、行、娱、购等公共服务保障能力</w:t>
      </w:r>
      <w:r>
        <w:rPr>
          <w:b/>
          <w:bCs/>
          <w:szCs w:val="32"/>
        </w:rPr>
        <w:t>。</w:t>
      </w:r>
      <w:r>
        <w:rPr>
          <w:szCs w:val="32"/>
        </w:rPr>
        <w:t>开发冰川宴、藏王宴、桃花宴等系列特色菜品，培育特色餐饮名店，提升餐饮行业整体服务水平；结合岗云杉林、易贡湖、古乡湖、桃花沟等生态康养优势，发展多品类生态康养酒店，适当扩大高端酒店数量；逐步开通主要旅游景区、乡村旅游点之间的旅游专线，开通汽车租赁服务；推进公共厕所提档升级，做好公共厕所规划布局和建设，加强旅游厕所管理，实现属地旅游景区公共厕所环境卫生全覆盖；推进网络数字基础设施建设，重点推进智慧景区功能布设；建设公路沿线应急救援体系，在重点景区景点、酒店民宿、运动旅游基地开展“供氧”工程，在3A级以上旅游景区建设旅游救援站。</w:t>
      </w:r>
      <w:r>
        <w:rPr>
          <w:rFonts w:hint="eastAsia"/>
          <w:b/>
          <w:bCs/>
          <w:szCs w:val="32"/>
        </w:rPr>
        <w:t>加强旅游小集镇服务功能。</w:t>
      </w:r>
      <w:r>
        <w:rPr>
          <w:rFonts w:hint="eastAsia"/>
          <w:szCs w:val="32"/>
        </w:rPr>
        <w:t>发挥易贡乡、玉普乡等作为林芝旅游延伸线路节点乡镇的区位特征，建立健全旅游休闲产品和旅游接待服务功能，建设易贡</w:t>
      </w:r>
      <w:r>
        <w:rPr>
          <w:szCs w:val="32"/>
        </w:rPr>
        <w:t>-</w:t>
      </w:r>
      <w:r>
        <w:rPr>
          <w:rFonts w:hint="eastAsia"/>
          <w:szCs w:val="32"/>
        </w:rPr>
        <w:t>八盖乡特色主题小镇，完善小集镇服务功能。</w:t>
      </w:r>
    </w:p>
    <w:p>
      <w:pPr>
        <w:rPr>
          <w:szCs w:val="32"/>
        </w:rPr>
      </w:pPr>
      <w:r>
        <w:rPr>
          <w:rFonts w:eastAsia="楷体_GB2312"/>
          <w:b/>
          <w:bCs/>
          <w:szCs w:val="32"/>
        </w:rPr>
        <w:t>创新旅游产品供给。</w:t>
      </w:r>
      <w:r>
        <w:rPr>
          <w:b/>
          <w:bCs/>
          <w:szCs w:val="32"/>
        </w:rPr>
        <w:t>打造多元精品旅游线路。</w:t>
      </w:r>
      <w:r>
        <w:rPr>
          <w:rFonts w:hint="eastAsia"/>
          <w:szCs w:val="32"/>
        </w:rPr>
        <w:t>打造波密南部、西部及北部三个旅游亚区，重点发展以</w:t>
      </w:r>
      <w:r>
        <w:rPr>
          <w:szCs w:val="32"/>
        </w:rPr>
        <w:t>G318</w:t>
      </w:r>
      <w:r>
        <w:rPr>
          <w:rFonts w:hint="eastAsia"/>
          <w:szCs w:val="32"/>
        </w:rPr>
        <w:t>国道为轴的南部旅游亚区及易贡沟、多吉沟、波堆沟三条旅游支线。</w:t>
      </w:r>
      <w:r>
        <w:rPr>
          <w:szCs w:val="32"/>
        </w:rPr>
        <w:t>结合</w:t>
      </w:r>
      <w:r>
        <w:rPr>
          <w:rFonts w:hint="eastAsia"/>
          <w:szCs w:val="32"/>
        </w:rPr>
        <w:t>林芝南迦巴瓦生态旅游环线，</w:t>
      </w:r>
      <w:r>
        <w:rPr>
          <w:szCs w:val="32"/>
        </w:rPr>
        <w:t>科学整合国省道沿线</w:t>
      </w:r>
      <w:r>
        <w:rPr>
          <w:rFonts w:hint="eastAsia"/>
          <w:szCs w:val="32"/>
        </w:rPr>
        <w:t>区域</w:t>
      </w:r>
      <w:r>
        <w:rPr>
          <w:szCs w:val="32"/>
        </w:rPr>
        <w:t>旅游资源，积极对接沿线各类保障要素，策划藏北深度游、周边县域拓展游、热门时段精品游等旅游线路，开发全时全季全域多元旅游线路产品，补齐冬季旅游产品短板</w:t>
      </w:r>
      <w:r>
        <w:rPr>
          <w:rFonts w:hint="eastAsia"/>
          <w:szCs w:val="32"/>
        </w:rPr>
        <w:t>，加快发展冰雪旅游经济</w:t>
      </w:r>
      <w:r>
        <w:rPr>
          <w:szCs w:val="32"/>
        </w:rPr>
        <w:t>。</w:t>
      </w:r>
      <w:r>
        <w:rPr>
          <w:b/>
          <w:bCs/>
          <w:szCs w:val="32"/>
        </w:rPr>
        <w:t>重点打造研学科考产品。</w:t>
      </w:r>
      <w:r>
        <w:rPr>
          <w:szCs w:val="32"/>
        </w:rPr>
        <w:t>依托波密丰富的自然景观、生态资源、红色遗迹，推广科考研究、科普教育、互动体验、学术交流等研学场景，差异化</w:t>
      </w:r>
      <w:r>
        <w:rPr>
          <w:rFonts w:hint="eastAsia"/>
          <w:szCs w:val="32"/>
        </w:rPr>
        <w:t>开发</w:t>
      </w:r>
      <w:r>
        <w:rPr>
          <w:szCs w:val="32"/>
        </w:rPr>
        <w:t>不同类型研学科考产品，打造藏东南研学科考基地。</w:t>
      </w:r>
      <w:r>
        <w:rPr>
          <w:b/>
          <w:bCs/>
          <w:szCs w:val="32"/>
        </w:rPr>
        <w:t>积极开发专项旅游产品。</w:t>
      </w:r>
      <w:r>
        <w:rPr>
          <w:szCs w:val="32"/>
        </w:rPr>
        <w:t>聚焦细分市场，满足专项、小众、高端特种旅游客群的个性化需求，开发主题旅拍、观星摄影等高端定制类观光产品。</w:t>
      </w:r>
    </w:p>
    <w:p>
      <w:pPr>
        <w:rPr>
          <w:b/>
          <w:bCs/>
          <w:szCs w:val="32"/>
        </w:rPr>
      </w:pPr>
      <w:r>
        <w:rPr>
          <w:rFonts w:eastAsia="楷体_GB2312"/>
          <w:b/>
          <w:bCs/>
          <w:szCs w:val="32"/>
        </w:rPr>
        <w:t>推进文旅业态融合发展。</w:t>
      </w:r>
      <w:r>
        <w:rPr>
          <w:b/>
          <w:bCs/>
          <w:szCs w:val="32"/>
        </w:rPr>
        <w:t>深化文旅与其他产业跨界融合</w:t>
      </w:r>
      <w:r>
        <w:rPr>
          <w:rFonts w:hint="eastAsia"/>
          <w:szCs w:val="32"/>
        </w:rPr>
        <w:t>。</w:t>
      </w:r>
      <w:bookmarkStart w:id="234" w:name="OLE_LINK90"/>
      <w:r>
        <w:rPr>
          <w:rFonts w:hint="eastAsia"/>
          <w:szCs w:val="32"/>
        </w:rPr>
        <w:t>以西部康养生态区为发展重点，在易贡、八盖、通麦、古乡等地创新</w:t>
      </w:r>
      <w:r>
        <w:rPr>
          <w:szCs w:val="32"/>
        </w:rPr>
        <w:t>“</w:t>
      </w:r>
      <w:r>
        <w:rPr>
          <w:rFonts w:hint="eastAsia"/>
          <w:szCs w:val="32"/>
        </w:rPr>
        <w:t>康养</w:t>
      </w:r>
      <w:r>
        <w:rPr>
          <w:szCs w:val="32"/>
        </w:rPr>
        <w:t>+</w:t>
      </w:r>
      <w:r>
        <w:rPr>
          <w:rFonts w:hint="eastAsia"/>
          <w:szCs w:val="32"/>
        </w:rPr>
        <w:t>旅游</w:t>
      </w:r>
      <w:r>
        <w:rPr>
          <w:szCs w:val="32"/>
        </w:rPr>
        <w:t>”</w:t>
      </w:r>
      <w:r>
        <w:rPr>
          <w:rFonts w:hint="eastAsia"/>
          <w:szCs w:val="32"/>
        </w:rPr>
        <w:t>发展模式，</w:t>
      </w:r>
      <w:bookmarkEnd w:id="234"/>
      <w:r>
        <w:rPr>
          <w:rFonts w:hint="eastAsia"/>
          <w:szCs w:val="32"/>
        </w:rPr>
        <w:t>推进文旅与农业、教育、体育、科技、交通、生态等领域相加相融、协同发展，形成多产业融合发展新局面。</w:t>
      </w:r>
      <w:r>
        <w:rPr>
          <w:b/>
          <w:bCs/>
          <w:szCs w:val="32"/>
        </w:rPr>
        <w:t>强化文旅联农带农。</w:t>
      </w:r>
      <w:r>
        <w:rPr>
          <w:szCs w:val="32"/>
        </w:rPr>
        <w:t>依托“一县一品、一乡一节”文旅节庆品牌，充分挖掘古村落、田园风光等乡村旅游资源，打造倾多、古乡、松宗旅游小镇，开发采摘农业、茶文化体验、林卡经济、乡村民俗体验等旅游体验产品，增加经营业态，培育更多乡村特色产业项目、乡村旅游景点，有效提升游客参与度和体验感。</w:t>
      </w:r>
    </w:p>
    <w:p>
      <w:pPr>
        <w:rPr>
          <w:szCs w:val="32"/>
        </w:rPr>
      </w:pPr>
      <w:r>
        <w:rPr>
          <w:rFonts w:eastAsia="楷体_GB2312"/>
          <w:b/>
          <w:bCs/>
          <w:szCs w:val="32"/>
        </w:rPr>
        <w:t>创新旅游品牌营销推广。</w:t>
      </w:r>
      <w:r>
        <w:rPr>
          <w:rFonts w:hint="eastAsia"/>
          <w:b/>
          <w:bCs/>
          <w:szCs w:val="32"/>
        </w:rPr>
        <w:t>构建波密品牌价值体系。</w:t>
      </w:r>
      <w:r>
        <w:rPr>
          <w:rFonts w:hint="eastAsia"/>
          <w:szCs w:val="32"/>
        </w:rPr>
        <w:t>深入挖掘波密地区文化、自然资源与特色产业优势，明确波密品牌核心价值与定位。制定波密品牌建设规划，</w:t>
      </w:r>
      <w:bookmarkStart w:id="235" w:name="OLE_LINK74"/>
      <w:r>
        <w:rPr>
          <w:rFonts w:hint="eastAsia"/>
          <w:szCs w:val="32"/>
        </w:rPr>
        <w:t>结合波密地域文化特色，设计具有辨识度与吸引力的品牌标识、宣传口号等</w:t>
      </w:r>
      <w:bookmarkEnd w:id="235"/>
      <w:r>
        <w:rPr>
          <w:rFonts w:hint="eastAsia"/>
          <w:szCs w:val="32"/>
        </w:rPr>
        <w:t>，全方位打造波密品牌。</w:t>
      </w:r>
      <w:r>
        <w:rPr>
          <w:b/>
          <w:bCs/>
          <w:szCs w:val="32"/>
        </w:rPr>
        <w:t>数智营销打造旅游品牌。</w:t>
      </w:r>
      <w:r>
        <w:rPr>
          <w:szCs w:val="32"/>
        </w:rPr>
        <w:t>用好网络融媒体平台，提升融媒体中心宣传能力，充分利用微博、微信、数字旅游、影视植入等形式，强化多渠道宣传叠加效应；聚焦节庆营销，提升大型赛事、节庆活动的宣传效能，通过航拍直播等方式向世界展示波密桃花节等盛况，强化波密“雪域桃源”等文旅品牌营销推广。</w:t>
      </w:r>
      <w:r>
        <w:rPr>
          <w:b/>
          <w:bCs/>
          <w:szCs w:val="32"/>
        </w:rPr>
        <w:t>加强文旅靶向营销。</w:t>
      </w:r>
      <w:r>
        <w:rPr>
          <w:szCs w:val="32"/>
        </w:rPr>
        <w:t>加强东西部文旅产业协作，定期在内地组织招商推介、项目签约、城市路演等活动，完善线上线下双向引流机制，稳固大湾区、长三角、成渝双城经济圈等地核心客源市场，加强旅游目的地宣传和文化旅游产品营销。</w:t>
      </w:r>
      <w:r>
        <w:rPr>
          <w:b/>
          <w:bCs/>
          <w:szCs w:val="32"/>
        </w:rPr>
        <w:t>做好旅游抱团营销。</w:t>
      </w:r>
      <w:r>
        <w:rPr>
          <w:szCs w:val="32"/>
        </w:rPr>
        <w:t>突出区位优势、联合多线营销，联合墨脱、</w:t>
      </w:r>
      <w:r>
        <w:rPr>
          <w:rFonts w:hint="eastAsia"/>
          <w:szCs w:val="32"/>
        </w:rPr>
        <w:t>工布江达、</w:t>
      </w:r>
      <w:r>
        <w:rPr>
          <w:szCs w:val="32"/>
        </w:rPr>
        <w:t>察隅、</w:t>
      </w:r>
      <w:r>
        <w:rPr>
          <w:rFonts w:hint="eastAsia"/>
          <w:szCs w:val="32"/>
        </w:rPr>
        <w:t>巴宜</w:t>
      </w:r>
      <w:r>
        <w:rPr>
          <w:szCs w:val="32"/>
        </w:rPr>
        <w:t>等地，</w:t>
      </w:r>
      <w:r>
        <w:rPr>
          <w:rFonts w:hint="eastAsia"/>
          <w:szCs w:val="32"/>
        </w:rPr>
        <w:t>加强县域间景区联动，</w:t>
      </w:r>
      <w:r>
        <w:rPr>
          <w:szCs w:val="32"/>
        </w:rPr>
        <w:t>推进区域整体营销策略；共商开通G318沿线城市旅游专线，拓展区域淡季旅游，定期举办区域旅游联合工作会议，共同包装、策划精品线路和团队旅游产品，大力宣传最美G318旅游IP。</w:t>
      </w:r>
      <w:bookmarkStart w:id="236" w:name="OLE_LINK73"/>
      <w:r>
        <w:rPr>
          <w:szCs w:val="32"/>
        </w:rPr>
        <w:br w:type="page"/>
      </w:r>
    </w:p>
    <w:tbl>
      <w:tblPr>
        <w:jc w:val="center"/>
        <w:tblW w:w="8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391"/>
      </w:tblGrid>
      <w:tr>
        <w:trPr>
          <w:trHeight w:val="70"/>
        </w:trPr>
        <w:tc>
          <w:tcPr>
            <w:tcW w:w="8391" w:type="dxa"/>
            <w:shd w:val="clear" w:color="auto" w:fill="C6D9F1"/>
            <w:vAlign w:val="center"/>
          </w:tcPr>
          <w:p>
            <w:pPr>
              <w:spacing w:line="240" w:lineRule="auto"/>
              <w:jc w:val="center"/>
              <w:rPr>
                <w:rFonts w:ascii="方正楷体_GBK" w:eastAsia="方正楷体_GBK"/>
                <w:sz w:val="18"/>
                <w:szCs w:val="18"/>
              </w:rPr>
            </w:pPr>
            <w:bookmarkEnd w:id="236"/>
            <w:r>
              <w:rPr>
                <w:rFonts w:ascii="方正楷体_GBK" w:eastAsia="方正楷体_GBK" w:hint="eastAsia"/>
                <w:sz w:val="18"/>
                <w:szCs w:val="18"/>
              </w:rPr>
              <w:t>专栏7   构建波密全域旅游发展新格局</w:t>
            </w:r>
          </w:p>
        </w:tc>
      </w:tr>
      <w:tr>
        <w:trPr>
          <w:trHeight w:val="416"/>
        </w:trPr>
        <w:tc>
          <w:tcPr>
            <w:tcW w:w="8391" w:type="dxa"/>
            <w:shd w:val="clear" w:color="auto" w:fill="CCECFF"/>
            <w:vAlign w:val="center"/>
          </w:tcPr>
          <w:p>
            <w:pPr>
              <w:spacing w:line="240" w:lineRule="auto"/>
              <w:rPr>
                <w:rFonts w:eastAsia="方正楷体_GBK"/>
                <w:sz w:val="18"/>
                <w:szCs w:val="18"/>
              </w:rPr>
            </w:pPr>
            <w:r>
              <w:rPr>
                <w:rFonts w:eastAsia="方正楷体_GBK"/>
                <w:sz w:val="18"/>
                <w:szCs w:val="18"/>
              </w:rPr>
              <w:t xml:space="preserve">01 </w:t>
            </w:r>
            <w:r>
              <w:rPr>
                <w:rFonts w:eastAsia="方正楷体_GBK" w:hint="eastAsia"/>
                <w:sz w:val="18"/>
                <w:szCs w:val="18"/>
              </w:rPr>
              <w:t>加快优质景区建设</w:t>
            </w:r>
          </w:p>
          <w:p>
            <w:pPr>
              <w:spacing w:line="240" w:lineRule="auto"/>
              <w:rPr>
                <w:rFonts w:eastAsia="宋体"/>
                <w:bCs/>
                <w:sz w:val="18"/>
                <w:szCs w:val="18"/>
              </w:rPr>
            </w:pPr>
            <w:r>
              <w:rPr>
                <w:rFonts w:eastAsia="方正仿宋_GBK" w:hint="eastAsia"/>
                <w:sz w:val="18"/>
                <w:szCs w:val="18"/>
              </w:rPr>
              <w:t>全力推进岗云杉林、白普龙沟4A级景区，桃花沟、嘎瓦龙沟、朗秋冰川3A级创建，推进易贡铁山风景区及桃花沟景区优化，整合打造G318（波密段）红色旅游项目，推进林珠隆巴、日卡古村落、八盖杜鹃观光区、桃花谷生态风情旅游区等旅游综合开发项目。</w:t>
            </w:r>
          </w:p>
        </w:tc>
      </w:tr>
      <w:tr>
        <w:trPr>
          <w:trHeight w:val="979"/>
        </w:trPr>
        <w:tc>
          <w:tcPr>
            <w:tcW w:w="8391" w:type="dxa"/>
            <w:shd w:val="clear" w:color="auto" w:fill="CCECFF"/>
            <w:vAlign w:val="center"/>
          </w:tcPr>
          <w:p>
            <w:pPr>
              <w:spacing w:line="240" w:lineRule="auto"/>
              <w:rPr>
                <w:rFonts w:eastAsia="方正楷体_GBK"/>
                <w:sz w:val="18"/>
                <w:szCs w:val="18"/>
              </w:rPr>
            </w:pPr>
            <w:r>
              <w:rPr>
                <w:rFonts w:eastAsia="方正楷体_GBK"/>
                <w:sz w:val="18"/>
                <w:szCs w:val="18"/>
              </w:rPr>
              <w:t>02</w:t>
            </w:r>
            <w:r>
              <w:rPr>
                <w:rFonts w:eastAsia="方正楷体_GBK" w:hint="eastAsia"/>
                <w:sz w:val="18"/>
                <w:szCs w:val="18"/>
              </w:rPr>
              <w:t>完善旅游基础设施和服务体系</w:t>
            </w:r>
          </w:p>
          <w:p>
            <w:pPr>
              <w:spacing w:line="240" w:lineRule="auto"/>
              <w:rPr>
                <w:rFonts w:eastAsia="宋体"/>
                <w:sz w:val="18"/>
                <w:szCs w:val="18"/>
              </w:rPr>
            </w:pPr>
            <w:r>
              <w:rPr>
                <w:rFonts w:eastAsia="方正仿宋_GBK" w:hint="eastAsia"/>
                <w:sz w:val="18"/>
                <w:szCs w:val="18"/>
              </w:rPr>
              <w:t>加快打造易贡、松宗等旅游小集镇，完善自驾营地、自驾酒店、超市等基础设施。搭建特色民俗街等旅游消费场景，打造影视、绘画、摄影等各类创作基地。新建易贡湖、通麦、米堆冰川等旅游接待服务中心，建设易贡乡江拉村旅游酒店、松宗镇温泉酒店等康养酒店，开发玉许乡海定村等康养旅游综合项目，打造松宗赛马场建设工程，加大偏远景区旅游道路及其他基础设施建设。</w:t>
            </w:r>
          </w:p>
        </w:tc>
      </w:tr>
    </w:tbl>
    <w:p>
      <w:pPr>
        <w:pStyle w:val="2"/>
        <w:spacing w:after="190" w:line="576" w:lineRule="exact"/>
      </w:pPr>
      <w:bookmarkStart w:id="237" w:name="_Toc218406236"/>
      <w:bookmarkStart w:id="238" w:name="_Toc223858419"/>
      <w:r>
        <w:t>第二节 积极布局清洁能源上下游产业</w:t>
      </w:r>
      <w:bookmarkEnd w:id="237"/>
      <w:bookmarkEnd w:id="238"/>
    </w:p>
    <w:p>
      <w:pPr>
        <w:rPr>
          <w:szCs w:val="32"/>
        </w:rPr>
      </w:pPr>
      <w:r>
        <w:rPr>
          <w:rFonts w:eastAsia="楷体_GB2312"/>
          <w:b/>
          <w:bCs/>
          <w:szCs w:val="32"/>
        </w:rPr>
        <w:t>推动水风光清洁能源开发。</w:t>
      </w:r>
      <w:r>
        <w:rPr>
          <w:szCs w:val="32"/>
        </w:rPr>
        <w:t>推进易贡藏布流域清洁能源基地一体化开发，有序推动易贡藏布干流夏曲</w:t>
      </w:r>
      <w:r>
        <w:rPr>
          <w:rFonts w:hint="eastAsia"/>
          <w:szCs w:val="32"/>
        </w:rPr>
        <w:t>、</w:t>
      </w:r>
      <w:r>
        <w:rPr>
          <w:szCs w:val="32"/>
        </w:rPr>
        <w:t>亚龙、朗采等支撑性水电站前期工作，力争早日</w:t>
      </w:r>
      <w:r>
        <w:rPr>
          <w:rFonts w:hint="eastAsia"/>
          <w:szCs w:val="32"/>
        </w:rPr>
        <w:t>核准</w:t>
      </w:r>
      <w:r>
        <w:rPr>
          <w:szCs w:val="32"/>
        </w:rPr>
        <w:t>开工。积极布局配套光伏发电项目，探索建设新能源+畜牧业融合发展示范项目，谋划康玉乡</w:t>
      </w:r>
      <w:r>
        <w:rPr>
          <w:rFonts w:hint="eastAsia"/>
          <w:szCs w:val="32"/>
        </w:rPr>
        <w:t>、玉许乡</w:t>
      </w:r>
      <w:r>
        <w:rPr>
          <w:szCs w:val="32"/>
        </w:rPr>
        <w:t>光伏、风电资源开发</w:t>
      </w:r>
      <w:r>
        <w:rPr>
          <w:rFonts w:hint="eastAsia"/>
          <w:szCs w:val="32"/>
        </w:rPr>
        <w:t>，推动波堆电站水风光互补项目，充分挖掘深层地热资源，拓宽清洁能源品类。牵头协调电网企业和项目业主，全力推进配套接网工程建设，积极引入载能产业，加强新能源产业与交通物流、设施农业等产业融合，提升能源本地消纳能力。</w:t>
      </w:r>
    </w:p>
    <w:p>
      <w:pPr>
        <w:rPr>
          <w:szCs w:val="32"/>
        </w:rPr>
      </w:pPr>
      <w:r>
        <w:rPr>
          <w:rFonts w:eastAsia="楷体_GB2312"/>
          <w:b/>
          <w:bCs/>
          <w:szCs w:val="32"/>
        </w:rPr>
        <w:t>培育清洁能源上下游产业链。</w:t>
      </w:r>
      <w:r>
        <w:rPr>
          <w:rFonts w:hint="eastAsia"/>
          <w:szCs w:val="32"/>
        </w:rPr>
        <w:t>根据</w:t>
      </w:r>
      <w:r>
        <w:rPr>
          <w:szCs w:val="32"/>
        </w:rPr>
        <w:t>易贡藏布水电开发</w:t>
      </w:r>
      <w:r>
        <w:rPr>
          <w:rFonts w:hint="eastAsia"/>
          <w:szCs w:val="32"/>
        </w:rPr>
        <w:t>进度</w:t>
      </w:r>
      <w:r>
        <w:rPr>
          <w:szCs w:val="32"/>
        </w:rPr>
        <w:t>，</w:t>
      </w:r>
      <w:r>
        <w:rPr>
          <w:rFonts w:hint="eastAsia"/>
          <w:szCs w:val="32"/>
        </w:rPr>
        <w:t>适时培育</w:t>
      </w:r>
      <w:r>
        <w:rPr>
          <w:szCs w:val="32"/>
        </w:rPr>
        <w:t>水电上下游产业链供应链创新链，探索绿色建材、</w:t>
      </w:r>
      <w:r>
        <w:rPr>
          <w:rFonts w:hint="eastAsia"/>
          <w:szCs w:val="32"/>
        </w:rPr>
        <w:t>预制件</w:t>
      </w:r>
      <w:r>
        <w:rPr>
          <w:szCs w:val="32"/>
        </w:rPr>
        <w:t>等配套产业项目，做好施工、供给、供电、交通等配套设施建设。</w:t>
      </w:r>
      <w:r>
        <w:rPr>
          <w:rFonts w:hint="eastAsia"/>
          <w:szCs w:val="32"/>
        </w:rPr>
        <w:t>依托交通区位优势，谋划</w:t>
      </w:r>
      <w:r>
        <w:rPr>
          <w:szCs w:val="32"/>
        </w:rPr>
        <w:t>波密能源输送特色产业园，发展大宗物资与特殊品仓储物流、第三方仓储物流、机械设备维修等上游产业，延伸发展生态治理修复、碳交易、固废处理等下游产业。</w:t>
      </w:r>
    </w:p>
    <w:tbl>
      <w:tblPr>
        <w:jc w:val="center"/>
        <w:tblW w:w="8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391"/>
      </w:tblGrid>
      <w:tr>
        <w:trPr>
          <w:trHeight w:val="109"/>
        </w:trPr>
        <w:tc>
          <w:tcPr>
            <w:tcW w:w="8391" w:type="dxa"/>
            <w:shd w:val="clear" w:color="auto" w:fill="C6D9F1"/>
            <w:vAlign w:val="center"/>
          </w:tcPr>
          <w:p>
            <w:pPr>
              <w:spacing w:line="240" w:lineRule="auto"/>
              <w:jc w:val="center"/>
              <w:rPr>
                <w:rFonts w:ascii="方正楷体_GBK" w:eastAsia="方正楷体_GBK"/>
                <w:sz w:val="18"/>
                <w:szCs w:val="18"/>
              </w:rPr>
            </w:pPr>
            <w:r>
              <w:rPr>
                <w:rFonts w:ascii="方正楷体_GBK" w:eastAsia="方正楷体_GBK" w:hint="eastAsia"/>
                <w:sz w:val="18"/>
                <w:szCs w:val="18"/>
              </w:rPr>
              <w:t>专栏8   积极布局清洁能源上下游产业</w:t>
            </w:r>
          </w:p>
        </w:tc>
      </w:tr>
      <w:tr>
        <w:trPr>
          <w:trHeight w:val="979"/>
        </w:trPr>
        <w:tc>
          <w:tcPr>
            <w:tcW w:w="8391" w:type="dxa"/>
            <w:shd w:val="clear" w:color="auto" w:fill="CCECFF"/>
            <w:vAlign w:val="center"/>
          </w:tcPr>
          <w:p>
            <w:pPr>
              <w:spacing w:line="240" w:lineRule="auto"/>
              <w:ind w:rightChars="-31" w:right="-65"/>
              <w:rPr>
                <w:rFonts w:eastAsia="方正楷体_GBK"/>
                <w:sz w:val="18"/>
                <w:szCs w:val="18"/>
              </w:rPr>
            </w:pPr>
            <w:r>
              <w:rPr>
                <w:rFonts w:eastAsia="方正楷体_GBK"/>
                <w:sz w:val="18"/>
                <w:szCs w:val="18"/>
              </w:rPr>
              <w:t xml:space="preserve">01 </w:t>
            </w:r>
            <w:r>
              <w:rPr>
                <w:rFonts w:eastAsia="方正楷体_GBK" w:hint="eastAsia"/>
                <w:sz w:val="18"/>
                <w:szCs w:val="18"/>
              </w:rPr>
              <w:t>推动水风光清洁能源开发</w:t>
            </w:r>
          </w:p>
          <w:p>
            <w:pPr>
              <w:spacing w:line="240" w:lineRule="auto"/>
              <w:rPr>
                <w:rFonts w:eastAsia="宋体"/>
                <w:bCs/>
                <w:sz w:val="18"/>
                <w:szCs w:val="18"/>
              </w:rPr>
            </w:pPr>
            <w:r>
              <w:rPr>
                <w:rFonts w:eastAsia="方正仿宋_GBK" w:hint="eastAsia"/>
                <w:sz w:val="18"/>
                <w:szCs w:val="18"/>
              </w:rPr>
              <w:t>推动易贡藏布夏曲、亚龙、朗采等水电站前期工作，谋划康玉乡光伏、风电资源开发，推动波堆电站水风光互补项目。</w:t>
            </w:r>
          </w:p>
        </w:tc>
      </w:tr>
    </w:tbl>
    <w:p>
      <w:pPr>
        <w:pStyle w:val="2"/>
        <w:spacing w:after="190" w:line="576" w:lineRule="exact"/>
      </w:pPr>
      <w:bookmarkStart w:id="239" w:name="_Toc218406237"/>
      <w:bookmarkStart w:id="240" w:name="_Toc223858420"/>
      <w:r>
        <w:t xml:space="preserve">第三节 </w:t>
      </w:r>
      <w:r>
        <w:rPr>
          <w:rFonts w:hint="eastAsia"/>
        </w:rPr>
        <w:t>优化</w:t>
      </w:r>
      <w:r>
        <w:t>发展高原特色农牧业</w:t>
      </w:r>
      <w:bookmarkEnd w:id="239"/>
      <w:bookmarkEnd w:id="240"/>
    </w:p>
    <w:p>
      <w:pPr>
        <w:rPr>
          <w:szCs w:val="32"/>
        </w:rPr>
      </w:pPr>
      <w:r>
        <w:rPr>
          <w:rFonts w:hint="eastAsia"/>
          <w:szCs w:val="32"/>
        </w:rPr>
        <w:t>优化产业布局，</w:t>
      </w:r>
      <w:r>
        <w:rPr>
          <w:szCs w:val="32"/>
        </w:rPr>
        <w:t>持续鼓励发展优势农牧产业天麻、灵芝、羊肚菌、贝母等藏药材和特色养殖业，</w:t>
      </w:r>
      <w:r>
        <w:rPr>
          <w:rFonts w:hint="eastAsia"/>
          <w:szCs w:val="32"/>
        </w:rPr>
        <w:t>先行培育波密特色产业品牌，依次带动产业集群发展。</w:t>
      </w:r>
      <w:r>
        <w:rPr>
          <w:szCs w:val="32"/>
        </w:rPr>
        <w:t>推动茶产业升级，扶持发展其他特色产业</w:t>
      </w:r>
      <w:r>
        <w:rPr>
          <w:rFonts w:hint="eastAsia"/>
          <w:szCs w:val="32"/>
        </w:rPr>
        <w:t>。以产业整合为核心，培优壮大“一县一业、一乡一品”，构建“一核一廊三区”的农业发展格局，做好特色农牧产业的金融服务保障。</w:t>
      </w:r>
    </w:p>
    <w:p>
      <w:pPr>
        <w:rPr>
          <w:szCs w:val="32"/>
        </w:rPr>
      </w:pPr>
      <w:r>
        <w:rPr>
          <w:rFonts w:eastAsia="楷体_GB2312"/>
          <w:b/>
          <w:bCs/>
          <w:szCs w:val="32"/>
        </w:rPr>
        <w:t>推动林下经济高质量发展。</w:t>
      </w:r>
      <w:r>
        <w:rPr>
          <w:szCs w:val="32"/>
        </w:rPr>
        <w:t>优化林下经济发展布局，</w:t>
      </w:r>
      <w:r>
        <w:rPr>
          <w:rFonts w:hint="eastAsia"/>
          <w:szCs w:val="32"/>
        </w:rPr>
        <w:t>做强藏药材从生产、加工到展销的全产业链条，助力林芝市</w:t>
      </w:r>
      <w:r>
        <w:rPr>
          <w:szCs w:val="32"/>
        </w:rPr>
        <w:t>藏药材</w:t>
      </w:r>
      <w:r>
        <w:rPr>
          <w:rFonts w:hint="eastAsia"/>
          <w:szCs w:val="32"/>
        </w:rPr>
        <w:t>产业</w:t>
      </w:r>
      <w:r>
        <w:rPr>
          <w:szCs w:val="32"/>
        </w:rPr>
        <w:t>集群</w:t>
      </w:r>
      <w:r>
        <w:rPr>
          <w:rFonts w:hint="eastAsia"/>
          <w:szCs w:val="32"/>
        </w:rPr>
        <w:t>建设。</w:t>
      </w:r>
      <w:r>
        <w:rPr>
          <w:szCs w:val="32"/>
        </w:rPr>
        <w:t>发展“企业＋合作社＋农户”</w:t>
      </w:r>
      <w:r>
        <w:rPr>
          <w:rFonts w:hint="eastAsia"/>
          <w:szCs w:val="32"/>
        </w:rPr>
        <w:t>等多种经营模式</w:t>
      </w:r>
      <w:r>
        <w:rPr>
          <w:szCs w:val="32"/>
        </w:rPr>
        <w:t>，强化龙头企业带动，</w:t>
      </w:r>
      <w:r>
        <w:rPr>
          <w:rFonts w:hint="eastAsia"/>
          <w:szCs w:val="32"/>
        </w:rPr>
        <w:t>促进联农助农作用。试点贝母种植，</w:t>
      </w:r>
      <w:r>
        <w:rPr>
          <w:szCs w:val="32"/>
        </w:rPr>
        <w:t>积极推广天麻、灵芝、羊肚菌</w:t>
      </w:r>
      <w:r>
        <w:rPr>
          <w:rFonts w:hint="eastAsia"/>
          <w:szCs w:val="32"/>
        </w:rPr>
        <w:t>等</w:t>
      </w:r>
      <w:r>
        <w:rPr>
          <w:szCs w:val="32"/>
        </w:rPr>
        <w:t>林下抚育种植技术</w:t>
      </w:r>
      <w:r>
        <w:rPr>
          <w:rFonts w:hint="eastAsia"/>
          <w:szCs w:val="32"/>
        </w:rPr>
        <w:t>。</w:t>
      </w:r>
      <w:r>
        <w:rPr>
          <w:szCs w:val="32"/>
        </w:rPr>
        <w:t>扩大藏药材种植实验基地、良种繁育基地规模，</w:t>
      </w:r>
      <w:r>
        <w:rPr>
          <w:rFonts w:hint="eastAsia"/>
          <w:szCs w:val="32"/>
        </w:rPr>
        <w:t>建立标准化示范基地，推动天麻全产业链标准化体系建设。</w:t>
      </w:r>
      <w:r>
        <w:rPr>
          <w:szCs w:val="32"/>
        </w:rPr>
        <w:t>延伸林下经济产业链条，推动产业从粗加工向精深加工、从二产到三产转型发展，增加林下经济产品供给，</w:t>
      </w:r>
      <w:r>
        <w:rPr>
          <w:rFonts w:hint="eastAsia"/>
          <w:szCs w:val="32"/>
        </w:rPr>
        <w:t>研发推广波密天麻酒、天麻干品、天麻饼以及灵芝系列高端</w:t>
      </w:r>
      <w:r>
        <w:rPr>
          <w:szCs w:val="32"/>
        </w:rPr>
        <w:t>深加工</w:t>
      </w:r>
      <w:r>
        <w:rPr>
          <w:rFonts w:hint="eastAsia"/>
          <w:szCs w:val="32"/>
        </w:rPr>
        <w:t>产品，</w:t>
      </w:r>
      <w:r>
        <w:rPr>
          <w:szCs w:val="32"/>
        </w:rPr>
        <w:t>提升产品附加值，做大做强“波密天麻”品牌。</w:t>
      </w:r>
    </w:p>
    <w:p>
      <w:pPr>
        <w:rPr>
          <w:szCs w:val="32"/>
        </w:rPr>
      </w:pPr>
      <w:r>
        <w:rPr>
          <w:rFonts w:eastAsia="楷体_GB2312"/>
          <w:b/>
          <w:bCs/>
          <w:szCs w:val="32"/>
        </w:rPr>
        <w:t>推动特色养殖产业改革。</w:t>
      </w:r>
      <w:r>
        <w:rPr>
          <w:rFonts w:hint="eastAsia"/>
          <w:szCs w:val="32"/>
        </w:rPr>
        <w:t>挖掘多吉乡、康玉乡及玉普乡草原承畜潜力，发展扩草增畜，适度探索高寒地区的特色生态养殖。</w:t>
      </w:r>
      <w:r>
        <w:rPr>
          <w:szCs w:val="32"/>
        </w:rPr>
        <w:t>推动肉</w:t>
      </w:r>
      <w:r>
        <w:rPr>
          <w:rFonts w:hint="eastAsia"/>
          <w:szCs w:val="32"/>
        </w:rPr>
        <w:t>牛、奶</w:t>
      </w:r>
      <w:r>
        <w:rPr>
          <w:szCs w:val="32"/>
        </w:rPr>
        <w:t>牛养殖产业化，推广“产业联建、梯级联责、农户联动”的养殖模式，整合力量发展联村共建养殖项目，</w:t>
      </w:r>
      <w:r>
        <w:rPr>
          <w:rFonts w:hint="eastAsia"/>
          <w:szCs w:val="32"/>
        </w:rPr>
        <w:t>建设集中式牲畜棚圈，</w:t>
      </w:r>
      <w:r>
        <w:rPr>
          <w:szCs w:val="32"/>
        </w:rPr>
        <w:t>降低养殖成本，通过人工繁殖、良种改良，</w:t>
      </w:r>
      <w:r>
        <w:rPr>
          <w:rFonts w:hint="eastAsia"/>
          <w:szCs w:val="32"/>
        </w:rPr>
        <w:t>加大优质娟珊牛、雅江雪牛等推广力度</w:t>
      </w:r>
      <w:r>
        <w:rPr>
          <w:szCs w:val="32"/>
        </w:rPr>
        <w:t>。盘活藏猪存量资源，发展藏猪肉精深加工产业，提高藏猪养殖规范化、科学化，进一步提高藏猪肉产品品质，降低养殖成本。加强藏猪养殖污染治理，加强动物疫病监测，建立常态化监测机制，定期对养殖场、屠宰场等重点场所进行疫病监测，严控动物检疫。</w:t>
      </w:r>
      <w:r>
        <w:rPr>
          <w:rFonts w:hint="eastAsia"/>
          <w:szCs w:val="32"/>
        </w:rPr>
        <w:t>建设标准化牛羊屠宰场，</w:t>
      </w:r>
      <w:r>
        <w:rPr>
          <w:szCs w:val="32"/>
        </w:rPr>
        <w:t>加快推广标准化屠宰技术，完善肉类加工、储存、冷链运输等产业链体系，提高市场竞争力。</w:t>
      </w:r>
    </w:p>
    <w:p>
      <w:pPr>
        <w:rPr>
          <w:szCs w:val="32"/>
        </w:rPr>
      </w:pPr>
      <w:r>
        <w:rPr>
          <w:rFonts w:eastAsia="楷体_GB2312"/>
          <w:b/>
          <w:bCs/>
          <w:szCs w:val="32"/>
        </w:rPr>
        <w:t>推动茶产业链升级融合。</w:t>
      </w:r>
      <w:r>
        <w:rPr>
          <w:szCs w:val="32"/>
        </w:rPr>
        <w:t>依托易贡茶场“国家农业技术集成创新中心——西藏生态低碳茶技术集成示范基地”，推动茶叶生产加工自动化、信息化建设，以市场需求为导向，优化经营模式，带动茶农规模化生产、产业化经营，形成群众+企业+政府的新型产业链。组织开展技术培训，引导群众参与茶叶栽植和生产加工，做到科学管护，降低新苗越冬死亡率，提高茶叶管护效率和质量</w:t>
      </w:r>
      <w:r>
        <w:rPr>
          <w:rFonts w:hint="eastAsia"/>
          <w:szCs w:val="32"/>
        </w:rPr>
        <w:t>，提高本地优良茶树苗木本土化生产和供应能力</w:t>
      </w:r>
      <w:r>
        <w:rPr>
          <w:szCs w:val="32"/>
        </w:rPr>
        <w:t>。鼓励茶企创新茶叶加工工艺，完善产品品类</w:t>
      </w:r>
      <w:r>
        <w:rPr>
          <w:rFonts w:hint="eastAsia"/>
          <w:szCs w:val="32"/>
        </w:rPr>
        <w:t>，重点完成易贡茶场有机茶叶基地全产业链建设，做好茶叶市场保供保质</w:t>
      </w:r>
      <w:r>
        <w:rPr>
          <w:szCs w:val="32"/>
        </w:rPr>
        <w:t>。</w:t>
      </w:r>
      <w:r>
        <w:rPr>
          <w:rFonts w:hint="eastAsia"/>
          <w:szCs w:val="32"/>
        </w:rPr>
        <w:t>大力培育</w:t>
      </w:r>
      <w:r>
        <w:rPr>
          <w:szCs w:val="32"/>
        </w:rPr>
        <w:t>“</w:t>
      </w:r>
      <w:r>
        <w:rPr>
          <w:rFonts w:hint="eastAsia"/>
          <w:szCs w:val="32"/>
        </w:rPr>
        <w:t>波密雪域茶</w:t>
      </w:r>
      <w:r>
        <w:rPr>
          <w:szCs w:val="32"/>
        </w:rPr>
        <w:t>”</w:t>
      </w:r>
      <w:r>
        <w:rPr>
          <w:rFonts w:hint="eastAsia"/>
          <w:szCs w:val="32"/>
        </w:rPr>
        <w:t>品牌，</w:t>
      </w:r>
      <w:r>
        <w:rPr>
          <w:szCs w:val="32"/>
        </w:rPr>
        <w:t>积极</w:t>
      </w:r>
      <w:r>
        <w:rPr>
          <w:rFonts w:hint="eastAsia"/>
          <w:szCs w:val="32"/>
        </w:rPr>
        <w:t>宣传</w:t>
      </w:r>
      <w:r>
        <w:rPr>
          <w:szCs w:val="32"/>
        </w:rPr>
        <w:t>推广</w:t>
      </w:r>
      <w:r>
        <w:rPr>
          <w:rFonts w:hint="eastAsia"/>
          <w:szCs w:val="32"/>
        </w:rPr>
        <w:t>“雪域有机</w:t>
      </w:r>
      <w:bookmarkStart w:id="241" w:name="OLE_LINK37"/>
      <w:r>
        <w:rPr>
          <w:rFonts w:hint="eastAsia"/>
          <w:szCs w:val="32"/>
        </w:rPr>
        <w:t>·</w:t>
      </w:r>
      <w:r>
        <w:rPr>
          <w:szCs w:val="32"/>
        </w:rPr>
        <w:t>北纬30°</w:t>
      </w:r>
      <w:bookmarkEnd w:id="241"/>
      <w:r>
        <w:rPr>
          <w:rFonts w:hint="eastAsia"/>
          <w:szCs w:val="32"/>
        </w:rPr>
        <w:t>·藏茶之源”</w:t>
      </w:r>
      <w:r>
        <w:rPr>
          <w:szCs w:val="32"/>
        </w:rPr>
        <w:t>茶IP。推动茶旅融合发展，深挖茶文化、讲好茶故事，开发茶园观光、制茶体验等项目，实现以茶带旅、以旅促茶。</w:t>
      </w:r>
    </w:p>
    <w:p>
      <w:pPr>
        <w:adjustRightInd w:val="0"/>
        <w:snapToGrid w:val="0"/>
        <w:rPr>
          <w:szCs w:val="32"/>
        </w:rPr>
      </w:pPr>
      <w:r>
        <w:rPr>
          <w:rFonts w:eastAsia="楷体_GB2312" w:hint="eastAsia"/>
          <w:b/>
          <w:bCs/>
          <w:szCs w:val="32"/>
        </w:rPr>
        <w:t>发展“小特精优”特色农产品。</w:t>
      </w:r>
      <w:r>
        <w:rPr>
          <w:szCs w:val="32"/>
        </w:rPr>
        <w:t>发挥蔬菜、藏鸡、水果、蜂蜜、冷水鱼等特色产业优势，着力打造一批小、特、精农业产业，不断丰富特色农产品类型。重点培育一批果蔬种植合作社和专业大户，盘活利用好现有温室资源，实施温室大棚基础设施提升改造，推广“良种＋智能农机＋数字化管理”模式，扩大水果、蔬菜等种植规模。推动易贡辣椒品种提纯复壮工作，建设易贡辣椒加工厂，探索从辣椒生产、深加工到线上线下多元销售的完善产业链，打造易贡辣椒农特产品品牌。</w:t>
      </w:r>
      <w:r>
        <w:rPr>
          <w:rFonts w:hint="eastAsia"/>
          <w:szCs w:val="32"/>
        </w:rPr>
        <w:t>实施优质人工饲草料基地改造，</w:t>
      </w:r>
      <w:r>
        <w:rPr>
          <w:szCs w:val="32"/>
        </w:rPr>
        <w:t>加强青稞、小麦等良种繁育田间管理技术指导，实现粮食稳产增收。不断探索适合波密发展的冷水鱼养殖技术，推进高原冷水鱼养殖项目。以森峰薯业高标准马铃薯研发种植为示范，因地制宜探索引进其他高抗优质经济作物品种，合理优化品种布局，壮大波密县高原特色种植产业。</w:t>
      </w:r>
    </w:p>
    <w:p>
      <w:pPr>
        <w:adjustRightInd w:val="0"/>
        <w:snapToGrid w:val="0"/>
        <w:rPr>
          <w:szCs w:val="32"/>
        </w:rPr>
      </w:pPr>
      <w:r>
        <w:rPr>
          <w:rFonts w:eastAsia="楷体_GB2312" w:hint="eastAsia"/>
          <w:b/>
          <w:szCs w:val="32"/>
        </w:rPr>
        <w:t>壮大新型农牧业经营主体。</w:t>
      </w:r>
      <w:r>
        <w:rPr>
          <w:rFonts w:hint="eastAsia"/>
          <w:szCs w:val="32"/>
        </w:rPr>
        <w:t>强化产业链条延伸，鼓励波密本土农牧特色合作社利用现有资源，与引进企业建立</w:t>
      </w:r>
      <w:r>
        <w:rPr>
          <w:szCs w:val="32"/>
        </w:rPr>
        <w:t>“</w:t>
      </w:r>
      <w:r>
        <w:rPr>
          <w:rFonts w:hint="eastAsia"/>
          <w:szCs w:val="32"/>
        </w:rPr>
        <w:t>企业＋合作社＋农户</w:t>
      </w:r>
      <w:r>
        <w:rPr>
          <w:szCs w:val="32"/>
        </w:rPr>
        <w:t>”</w:t>
      </w:r>
      <w:r>
        <w:rPr>
          <w:rFonts w:hint="eastAsia"/>
          <w:szCs w:val="32"/>
        </w:rPr>
        <w:t>的紧密合作模式，支持龙头企业创建，鼓励龙头企业发挥产业链引领带动作用，实现资源共享、优势互补，推动各类林下资源产品、农牧产品向产业链价值链高端延伸。强化服务水平，充分发挥国家支持农牧特色企业发展政策支撑作用，积极帮助农牧民专业合作社等新型农牧业经营主体解决发展中遇到的贷款融资难、技术跟不上、管理经营人才紧缺等突出问题。</w:t>
      </w:r>
    </w:p>
    <w:p>
      <w:r>
        <w:rPr>
          <w:rFonts w:eastAsia="楷体_GB2312" w:hint="eastAsia"/>
          <w:b/>
          <w:szCs w:val="32"/>
        </w:rPr>
        <w:t>强化农牧业科技支撑。</w:t>
      </w:r>
      <w:r>
        <w:rPr>
          <w:rFonts w:hint="eastAsia"/>
          <w:szCs w:val="32"/>
        </w:rPr>
        <w:t>加强基层农技推广体系建设，采用</w:t>
      </w:r>
      <w:r>
        <w:rPr>
          <w:szCs w:val="32"/>
        </w:rPr>
        <w:t>“</w:t>
      </w:r>
      <w:r>
        <w:rPr>
          <w:rFonts w:hint="eastAsia"/>
          <w:szCs w:val="32"/>
        </w:rPr>
        <w:t>以训帮扶</w:t>
      </w:r>
      <w:bookmarkStart w:id="242" w:name="OLE_LINK75"/>
      <w:r>
        <w:rPr>
          <w:szCs w:val="32"/>
        </w:rPr>
        <w:t>”</w:t>
      </w:r>
      <w:bookmarkEnd w:id="242"/>
      <w:r>
        <w:rPr>
          <w:rFonts w:hint="eastAsia"/>
          <w:szCs w:val="32"/>
        </w:rPr>
        <w:t>模式开展技术培训、培育种植大户。</w:t>
      </w:r>
      <w:bookmarkStart w:id="243" w:name="OLE_LINK76"/>
      <w:bookmarkStart w:id="244" w:name="OLE_LINK77"/>
      <w:r>
        <w:rPr>
          <w:rFonts w:hint="eastAsia"/>
          <w:szCs w:val="32"/>
        </w:rPr>
        <w:t>加强与东部地区高校、科研院所、龙头企业合作，</w:t>
      </w:r>
      <w:bookmarkStart w:id="245" w:name="OLE_LINK84"/>
      <w:bookmarkStart w:id="246" w:name="OLE_LINK79"/>
      <w:bookmarkEnd w:id="243"/>
      <w:bookmarkEnd w:id="244"/>
      <w:r>
        <w:rPr>
          <w:rFonts w:hint="eastAsia"/>
          <w:szCs w:val="32"/>
        </w:rPr>
        <w:t>积极</w:t>
      </w:r>
      <w:bookmarkStart w:id="247" w:name="OLE_LINK78"/>
      <w:r>
        <w:rPr>
          <w:rFonts w:hint="eastAsia"/>
          <w:szCs w:val="32"/>
        </w:rPr>
        <w:t>对接广州科技帮扶项目，充分发挥</w:t>
      </w:r>
      <w:r>
        <w:rPr>
          <w:szCs w:val="32"/>
        </w:rPr>
        <w:t>“</w:t>
      </w:r>
      <w:r>
        <w:rPr>
          <w:rFonts w:hint="eastAsia"/>
          <w:szCs w:val="32"/>
        </w:rPr>
        <w:t>穗波科技合作服务站</w:t>
      </w:r>
      <w:r>
        <w:rPr>
          <w:szCs w:val="32"/>
        </w:rPr>
        <w:t>”“</w:t>
      </w:r>
      <w:r>
        <w:rPr>
          <w:rFonts w:hint="eastAsia"/>
          <w:szCs w:val="32"/>
        </w:rPr>
        <w:t>广东省农业科学院波密县专家工作站</w:t>
      </w:r>
      <w:r>
        <w:rPr>
          <w:szCs w:val="32"/>
        </w:rPr>
        <w:t>”</w:t>
      </w:r>
      <w:r>
        <w:rPr>
          <w:rFonts w:hint="eastAsia"/>
          <w:szCs w:val="32"/>
        </w:rPr>
        <w:t>等科技支撑作用，加深粤林（穗波）科技合作结对工作，</w:t>
      </w:r>
      <w:bookmarkEnd w:id="245"/>
      <w:bookmarkEnd w:id="247"/>
      <w:r>
        <w:rPr>
          <w:rFonts w:hint="eastAsia"/>
          <w:szCs w:val="32"/>
        </w:rPr>
        <w:t>建设林下药材良种繁育基地、林下野生抚育示范基地</w:t>
      </w:r>
      <w:bookmarkStart w:id="248" w:name="OLE_LINK85"/>
      <w:bookmarkStart w:id="249" w:name="OLE_LINK86"/>
      <w:r>
        <w:rPr>
          <w:rFonts w:hint="eastAsia"/>
          <w:szCs w:val="32"/>
        </w:rPr>
        <w:t>，建设青稞、油菜、马铃薯等良种繁育基地</w:t>
      </w:r>
      <w:bookmarkEnd w:id="248"/>
      <w:r>
        <w:rPr>
          <w:rFonts w:hint="eastAsia"/>
          <w:szCs w:val="32"/>
        </w:rPr>
        <w:t>、</w:t>
      </w:r>
      <w:bookmarkEnd w:id="249"/>
      <w:r>
        <w:rPr>
          <w:rFonts w:hint="eastAsia"/>
          <w:szCs w:val="32"/>
        </w:rPr>
        <w:t>科研试验区及实验室等科研平台，</w:t>
      </w:r>
      <w:bookmarkStart w:id="250" w:name="OLE_LINK81"/>
      <w:bookmarkStart w:id="251" w:name="OLE_LINK80"/>
      <w:bookmarkEnd w:id="246"/>
      <w:r>
        <w:rPr>
          <w:rFonts w:hint="eastAsia"/>
          <w:szCs w:val="32"/>
        </w:rPr>
        <w:t>配备先进的初加工厂和仓储设施，定期开展藏药材、灵芝、天麻、茶叶种植培训及生猪标准化屠宰、野生桃树品种改良、野生本地鱼驯化繁育等专题科研活动，实现产、学、研、供、销的一体化无缝对接，</w:t>
      </w:r>
      <w:bookmarkStart w:id="252" w:name="OLE_LINK82"/>
      <w:bookmarkEnd w:id="250"/>
      <w:r>
        <w:rPr>
          <w:rFonts w:hint="eastAsia"/>
          <w:szCs w:val="32"/>
        </w:rPr>
        <w:t>提高林下作物等经济产品产量和品质，提高牲畜生长速度和饲养效率</w:t>
      </w:r>
      <w:bookmarkEnd w:id="252"/>
      <w:r>
        <w:rPr>
          <w:rFonts w:hint="eastAsia"/>
          <w:szCs w:val="32"/>
        </w:rPr>
        <w:t>，</w:t>
      </w:r>
      <w:bookmarkStart w:id="253" w:name="OLE_LINK87"/>
      <w:r>
        <w:rPr>
          <w:rFonts w:hint="eastAsia"/>
          <w:szCs w:val="32"/>
        </w:rPr>
        <w:t>以科技赋能农牧业发展。</w:t>
      </w:r>
      <w:bookmarkStart w:id="254" w:name="OLE_LINK83"/>
      <w:bookmarkEnd w:id="251"/>
      <w:bookmarkEnd w:id="253"/>
    </w:p>
    <w:tbl>
      <w:tblPr>
        <w:jc w:val="center"/>
        <w:tblW w:w="8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391"/>
      </w:tblGrid>
      <w:tr>
        <w:trPr>
          <w:trHeight w:val="70"/>
          <w:tblHeader/>
        </w:trPr>
        <w:tc>
          <w:tcPr>
            <w:tcW w:w="8391" w:type="dxa"/>
            <w:tcBorders>
              <w:bottom w:val="single" w:sz="4" w:space="0" w:color="auto"/>
            </w:tcBorders>
            <w:shd w:val="clear" w:color="auto" w:fill="C6D9F1"/>
            <w:vAlign w:val="center"/>
          </w:tcPr>
          <w:p>
            <w:pPr>
              <w:spacing w:line="240" w:lineRule="auto"/>
              <w:jc w:val="center"/>
              <w:rPr>
                <w:rFonts w:ascii="方正楷体_GBK" w:eastAsia="方正楷体_GBK"/>
                <w:sz w:val="18"/>
                <w:szCs w:val="18"/>
              </w:rPr>
            </w:pPr>
            <w:bookmarkEnd w:id="254"/>
            <w:r>
              <w:rPr>
                <w:rFonts w:ascii="方正楷体_GBK" w:eastAsia="方正楷体_GBK" w:hint="eastAsia"/>
                <w:sz w:val="18"/>
                <w:szCs w:val="18"/>
              </w:rPr>
              <w:t>专栏9   优化发展高原特色农牧业</w:t>
            </w:r>
          </w:p>
        </w:tc>
      </w:tr>
      <w:tr>
        <w:trPr>
          <w:trHeight w:val="70"/>
        </w:trPr>
        <w:tc>
          <w:tcPr>
            <w:tcW w:w="8391" w:type="dxa"/>
            <w:tcBorders>
              <w:top w:val="single" w:sz="4" w:space="0" w:color="auto"/>
              <w:bottom w:val="single" w:sz="4" w:space="0" w:color="auto"/>
            </w:tcBorders>
            <w:shd w:val="clear" w:color="auto" w:fill="CCECFF"/>
            <w:vAlign w:val="center"/>
          </w:tcPr>
          <w:p>
            <w:pPr>
              <w:spacing w:line="240" w:lineRule="auto"/>
              <w:rPr>
                <w:rFonts w:eastAsia="方正楷体_GBK"/>
                <w:sz w:val="18"/>
                <w:szCs w:val="18"/>
              </w:rPr>
            </w:pPr>
            <w:r>
              <w:rPr>
                <w:rFonts w:eastAsia="方正楷体_GBK"/>
                <w:sz w:val="18"/>
                <w:szCs w:val="18"/>
              </w:rPr>
              <w:t xml:space="preserve">01 </w:t>
            </w:r>
            <w:r>
              <w:rPr>
                <w:rFonts w:eastAsia="方正楷体_GBK" w:hint="eastAsia"/>
                <w:sz w:val="18"/>
                <w:szCs w:val="18"/>
              </w:rPr>
              <w:t>推动</w:t>
            </w:r>
            <w:r>
              <w:rPr>
                <w:rFonts w:eastAsia="方正楷体_GBK"/>
                <w:sz w:val="18"/>
                <w:szCs w:val="18"/>
              </w:rPr>
              <w:t>林下经济</w:t>
            </w:r>
            <w:r>
              <w:rPr>
                <w:rFonts w:eastAsia="方正楷体_GBK" w:hint="eastAsia"/>
                <w:sz w:val="18"/>
                <w:szCs w:val="18"/>
              </w:rPr>
              <w:t>高质量发展</w:t>
              <w:tab/>
            </w:r>
          </w:p>
          <w:p>
            <w:pPr>
              <w:spacing w:line="240" w:lineRule="auto"/>
              <w:rPr>
                <w:rFonts w:eastAsia="宋体"/>
                <w:bCs/>
                <w:sz w:val="18"/>
                <w:szCs w:val="18"/>
              </w:rPr>
            </w:pPr>
            <w:r>
              <w:rPr>
                <w:rFonts w:eastAsia="方正仿宋_GBK" w:hint="eastAsia"/>
                <w:sz w:val="18"/>
                <w:szCs w:val="18"/>
              </w:rPr>
              <w:t>实施波密县天麻育种与种植基地提升项目、天麻产地加工技术及产品深度开发项目（一期）。</w:t>
            </w:r>
          </w:p>
        </w:tc>
      </w:tr>
      <w:tr>
        <w:trPr>
          <w:trHeight w:val="452"/>
        </w:trPr>
        <w:tc>
          <w:tcPr>
            <w:tcW w:w="8391" w:type="dxa"/>
            <w:tcBorders>
              <w:top w:val="single" w:sz="4" w:space="0" w:color="auto"/>
              <w:bottom w:val="single" w:sz="4" w:space="0" w:color="auto"/>
            </w:tcBorders>
            <w:shd w:val="clear" w:color="auto" w:fill="CCECFF"/>
            <w:vAlign w:val="center"/>
          </w:tcPr>
          <w:p>
            <w:pPr>
              <w:spacing w:line="240" w:lineRule="auto"/>
              <w:rPr>
                <w:rFonts w:eastAsia="方正楷体_GBK"/>
                <w:sz w:val="18"/>
                <w:szCs w:val="18"/>
              </w:rPr>
            </w:pPr>
            <w:r>
              <w:rPr>
                <w:rFonts w:eastAsia="方正楷体_GBK"/>
                <w:sz w:val="18"/>
                <w:szCs w:val="18"/>
              </w:rPr>
              <w:t xml:space="preserve">02 </w:t>
            </w:r>
            <w:r>
              <w:rPr>
                <w:rFonts w:eastAsia="方正楷体_GBK" w:hint="eastAsia"/>
                <w:sz w:val="18"/>
                <w:szCs w:val="18"/>
              </w:rPr>
              <w:t>推动特色养殖产业改革</w:t>
            </w:r>
          </w:p>
          <w:p>
            <w:pPr>
              <w:spacing w:line="240" w:lineRule="auto"/>
              <w:rPr>
                <w:rFonts w:eastAsia="宋体"/>
                <w:bCs/>
                <w:sz w:val="18"/>
                <w:szCs w:val="18"/>
              </w:rPr>
            </w:pPr>
            <w:r>
              <w:rPr>
                <w:rFonts w:eastAsia="方正仿宋_GBK" w:hint="eastAsia"/>
                <w:sz w:val="18"/>
                <w:szCs w:val="18"/>
              </w:rPr>
              <w:t>实施波密县集中式牲畜棚圈项目，成立八盖乡龙普村养牛合作社，新建玉普乡建设市级动物防疫检查站，在主要行政村建设村级兽医室，建立肉类农产品深加工项目。</w:t>
            </w:r>
          </w:p>
        </w:tc>
      </w:tr>
      <w:tr>
        <w:trPr>
          <w:trHeight w:val="979"/>
        </w:trPr>
        <w:tc>
          <w:tcPr>
            <w:tcW w:w="8391" w:type="dxa"/>
            <w:tcBorders>
              <w:top w:val="single" w:sz="4" w:space="0" w:color="auto"/>
              <w:bottom w:val="single" w:sz="4" w:space="0" w:color="auto"/>
            </w:tcBorders>
            <w:shd w:val="clear" w:color="auto" w:fill="CCECFF"/>
            <w:vAlign w:val="center"/>
          </w:tcPr>
          <w:p>
            <w:pPr>
              <w:spacing w:line="240" w:lineRule="auto"/>
              <w:rPr>
                <w:rFonts w:eastAsia="方正楷体_GBK"/>
                <w:sz w:val="18"/>
                <w:szCs w:val="18"/>
              </w:rPr>
            </w:pPr>
            <w:r>
              <w:rPr>
                <w:rFonts w:eastAsia="方正楷体_GBK"/>
                <w:sz w:val="18"/>
                <w:szCs w:val="18"/>
              </w:rPr>
              <w:t xml:space="preserve">03 </w:t>
            </w:r>
            <w:r>
              <w:rPr>
                <w:rFonts w:eastAsia="方正楷体_GBK" w:hint="eastAsia"/>
                <w:sz w:val="18"/>
                <w:szCs w:val="18"/>
              </w:rPr>
              <w:t>推动</w:t>
            </w:r>
            <w:r>
              <w:rPr>
                <w:rFonts w:eastAsia="方正楷体_GBK"/>
                <w:sz w:val="18"/>
                <w:szCs w:val="18"/>
              </w:rPr>
              <w:t>茶</w:t>
            </w:r>
            <w:r>
              <w:rPr>
                <w:rFonts w:eastAsia="方正楷体_GBK" w:hint="eastAsia"/>
                <w:sz w:val="18"/>
                <w:szCs w:val="18"/>
              </w:rPr>
              <w:t>产业链升级融合</w:t>
            </w:r>
          </w:p>
          <w:p>
            <w:pPr>
              <w:spacing w:line="240" w:lineRule="auto"/>
              <w:rPr>
                <w:rFonts w:eastAsia="宋体"/>
                <w:bCs/>
                <w:sz w:val="18"/>
                <w:szCs w:val="18"/>
              </w:rPr>
            </w:pPr>
            <w:r>
              <w:rPr>
                <w:rFonts w:eastAsia="方正仿宋_GBK" w:hint="eastAsia"/>
                <w:sz w:val="18"/>
                <w:szCs w:val="18"/>
              </w:rPr>
              <w:t>实施易贡茶场有机茶叶基地全产业链建设项目，完善古乡茶园基础设施配套建设项目，新建易贡乡贡仲村茶旅文化产业园，新建易贡乡茶叶加工厂。</w:t>
            </w:r>
          </w:p>
        </w:tc>
      </w:tr>
      <w:tr>
        <w:trPr>
          <w:trHeight w:val="979"/>
        </w:trPr>
        <w:tc>
          <w:tcPr>
            <w:tcW w:w="8391" w:type="dxa"/>
            <w:tcBorders>
              <w:top w:val="single" w:sz="4" w:space="0" w:color="auto"/>
            </w:tcBorders>
            <w:shd w:val="clear" w:color="auto" w:fill="CCECFF"/>
            <w:vAlign w:val="center"/>
          </w:tcPr>
          <w:p>
            <w:pPr>
              <w:spacing w:line="240" w:lineRule="auto"/>
              <w:rPr>
                <w:rFonts w:eastAsia="方正楷体_GBK"/>
                <w:sz w:val="18"/>
                <w:szCs w:val="18"/>
              </w:rPr>
            </w:pPr>
            <w:r>
              <w:rPr>
                <w:rFonts w:eastAsia="方正楷体_GBK"/>
                <w:sz w:val="18"/>
                <w:szCs w:val="18"/>
              </w:rPr>
              <w:t xml:space="preserve">04 </w:t>
            </w:r>
            <w:r>
              <w:rPr>
                <w:rFonts w:eastAsia="方正楷体_GBK" w:hint="eastAsia"/>
                <w:sz w:val="18"/>
                <w:szCs w:val="18"/>
              </w:rPr>
              <w:t>发展“小特精优”特色农产品</w:t>
            </w:r>
          </w:p>
          <w:p>
            <w:pPr>
              <w:spacing w:line="240" w:lineRule="auto"/>
              <w:rPr>
                <w:rFonts w:eastAsia="宋体"/>
                <w:bCs/>
                <w:sz w:val="18"/>
                <w:szCs w:val="18"/>
              </w:rPr>
            </w:pPr>
            <w:r>
              <w:rPr>
                <w:rFonts w:eastAsia="方正仿宋_GBK" w:hint="eastAsia"/>
                <w:sz w:val="18"/>
                <w:szCs w:val="18"/>
              </w:rPr>
              <w:t>实施易贡乡沙玛村反季节麒麟西瓜种植基地建设项目、易贡乡沙玛村辣椒加工厂建设项目、易贡渔业增殖放流及商品鱼养殖项目、易贡菜籽油加工厂重建项目等。</w:t>
            </w:r>
          </w:p>
        </w:tc>
      </w:tr>
    </w:tbl>
    <w:p>
      <w:pPr>
        <w:pStyle w:val="2"/>
        <w:spacing w:after="190" w:line="576" w:lineRule="exact"/>
      </w:pPr>
      <w:bookmarkStart w:id="255" w:name="_Toc218406238"/>
      <w:bookmarkStart w:id="256" w:name="_Toc223858421"/>
      <w:r>
        <w:t xml:space="preserve">第四节 </w:t>
      </w:r>
      <w:r>
        <w:rPr>
          <w:rFonts w:hint="eastAsia"/>
        </w:rPr>
        <w:t>提质升级</w:t>
      </w:r>
      <w:r>
        <w:t>现代服务业</w:t>
      </w:r>
      <w:bookmarkEnd w:id="255"/>
      <w:bookmarkEnd w:id="256"/>
    </w:p>
    <w:p>
      <w:pPr>
        <w:rPr>
          <w:szCs w:val="32"/>
        </w:rPr>
      </w:pPr>
      <w:r>
        <w:rPr>
          <w:rFonts w:hint="eastAsia"/>
          <w:szCs w:val="32"/>
        </w:rPr>
        <w:t>推动波密生产性服务业同特色优势产业深度融合发展，推动生活性服务业品质化、多样化、特色化升级。</w:t>
      </w:r>
    </w:p>
    <w:p>
      <w:pPr>
        <w:rPr>
          <w:szCs w:val="32"/>
        </w:rPr>
      </w:pPr>
      <w:r>
        <w:rPr>
          <w:rFonts w:eastAsia="楷体_GB2312"/>
          <w:b/>
          <w:bCs/>
          <w:szCs w:val="32"/>
        </w:rPr>
        <w:t>加快发展现代</w:t>
      </w:r>
      <w:r>
        <w:rPr>
          <w:rFonts w:eastAsia="楷体_GB2312" w:hint="eastAsia"/>
          <w:b/>
          <w:bCs/>
          <w:szCs w:val="32"/>
        </w:rPr>
        <w:t>综合</w:t>
      </w:r>
      <w:r>
        <w:rPr>
          <w:rFonts w:eastAsia="楷体_GB2312"/>
          <w:b/>
          <w:bCs/>
          <w:szCs w:val="32"/>
        </w:rPr>
        <w:t>物流产业。</w:t>
      </w:r>
      <w:r>
        <w:rPr>
          <w:szCs w:val="32"/>
        </w:rPr>
        <w:t>围绕川藏、</w:t>
      </w:r>
      <w:r>
        <w:rPr>
          <w:rFonts w:hint="eastAsia"/>
          <w:szCs w:val="32"/>
        </w:rPr>
        <w:t>波密至然乌支线铁路</w:t>
      </w:r>
      <w:r>
        <w:rPr>
          <w:szCs w:val="32"/>
        </w:rPr>
        <w:t>建设契机，发展物流商贸产业，依托波密站、松宗站、波密通用机场、G318</w:t>
      </w:r>
      <w:r>
        <w:rPr>
          <w:rFonts w:hint="eastAsia"/>
          <w:szCs w:val="32"/>
        </w:rPr>
        <w:t>、</w:t>
      </w:r>
      <w:r>
        <w:rPr>
          <w:szCs w:val="32"/>
        </w:rPr>
        <w:t>G701</w:t>
      </w:r>
      <w:r>
        <w:rPr>
          <w:rFonts w:hint="eastAsia"/>
          <w:szCs w:val="32"/>
        </w:rPr>
        <w:t>、</w:t>
      </w:r>
      <w:r>
        <w:rPr>
          <w:szCs w:val="32"/>
        </w:rPr>
        <w:t>S303等重要交通枢纽、交通路网，建设有效链接的运输网络，加强多式联运，着力降低物流成本，将波密县打造为藏东南重要的综合性物流枢纽和商品集散地。建设</w:t>
      </w:r>
      <w:r>
        <w:rPr>
          <w:rFonts w:hint="eastAsia"/>
          <w:szCs w:val="32"/>
        </w:rPr>
        <w:t>波密县现代综合物流园区</w:t>
      </w:r>
      <w:r>
        <w:rPr>
          <w:szCs w:val="32"/>
        </w:rPr>
        <w:t>，加强波密物流园区与林芝市</w:t>
      </w:r>
      <w:r>
        <w:rPr>
          <w:rFonts w:hint="eastAsia"/>
          <w:szCs w:val="32"/>
        </w:rPr>
        <w:t>水电产业集群的衔接联动发展</w:t>
      </w:r>
      <w:r>
        <w:rPr>
          <w:szCs w:val="32"/>
        </w:rPr>
        <w:t>，做强服务功能、做好供应链协同，加快运输、仓储、配送、流通加工、包装、装卸等领域数字化建设。</w:t>
      </w:r>
      <w:r>
        <w:rPr>
          <w:rFonts w:hint="eastAsia"/>
          <w:szCs w:val="32"/>
        </w:rPr>
        <w:t>统筹城乡物流发展，加强农牧区寄递物流体系建设，以波密县物流节点为核心，深化客货邮融合与快递进村协同推进，实现乡镇寄递物流中转服务站改造提升，建设村级寄递物流综合服务站，购置物流综合服务站设备，完善站点服务功能。</w:t>
      </w:r>
    </w:p>
    <w:p>
      <w:pPr>
        <w:rPr>
          <w:szCs w:val="30"/>
        </w:rPr>
      </w:pPr>
      <w:r>
        <w:rPr>
          <w:rFonts w:eastAsia="楷体_GB2312"/>
          <w:b/>
          <w:bCs/>
          <w:szCs w:val="32"/>
        </w:rPr>
        <w:t>提升生活性服务业质量。</w:t>
      </w:r>
      <w:r>
        <w:rPr>
          <w:szCs w:val="32"/>
        </w:rPr>
        <w:t>增加普惠性生活服务供给，在“一老一小”等供需矛盾突出领域，引入社会力量发展质量有保障、价格可承受的普惠性生活服务，推动医疗、养老、育幼、文化、体育、家政等重点领域生活性服务业品质升级。提升社区便民服务，推动公共服务机构、便民服务设施、商业服务网点辐射所有城乡社区，优化城市综合超市、购物中心、批发市场等商业网点结构，支持便利店、中小超市、菜店等商业发展。推动县乡村消费，加快贯通县乡村三级电子商务服务体系和快递物流配送体系，建设农村生活服务网络，支持建设立足乡村、贴近农民的生活消费服务综合体，提供购物、餐饮、休闲娱乐、农产品收购、农产品加工、商品配送、废旧物资回收等多种服务。着力打造高品质的消费场景，规划配建相关饮食、娱乐等设施，</w:t>
      </w:r>
      <w:r>
        <w:rPr>
          <w:rFonts w:hint="eastAsia"/>
          <w:szCs w:val="32"/>
        </w:rPr>
        <w:t>发展县城夜间经济</w:t>
      </w:r>
      <w:r>
        <w:rPr>
          <w:szCs w:val="32"/>
        </w:rPr>
        <w:t>。</w:t>
      </w:r>
    </w:p>
    <w:p>
      <w:pPr>
        <w:pStyle w:val="2"/>
        <w:spacing w:after="190" w:line="576" w:lineRule="exact"/>
      </w:pPr>
      <w:bookmarkStart w:id="257" w:name="_Toc218406239"/>
      <w:bookmarkStart w:id="258" w:name="_Toc223858422"/>
      <w:r>
        <w:t xml:space="preserve">第五节 </w:t>
      </w:r>
      <w:r>
        <w:rPr>
          <w:rFonts w:hint="eastAsia"/>
        </w:rPr>
        <w:t>培育</w:t>
      </w:r>
      <w:r>
        <w:t>重大工程生活物资保障伴生产业</w:t>
      </w:r>
      <w:bookmarkEnd w:id="257"/>
      <w:bookmarkEnd w:id="258"/>
    </w:p>
    <w:p>
      <w:pPr>
        <w:rPr>
          <w:szCs w:val="32"/>
        </w:rPr>
      </w:pPr>
      <w:r>
        <w:rPr>
          <w:szCs w:val="32"/>
        </w:rPr>
        <w:t>依托波密地理区位及交通优势，准确把握</w:t>
      </w:r>
      <w:r>
        <w:rPr>
          <w:rFonts w:hint="eastAsia"/>
          <w:szCs w:val="32"/>
        </w:rPr>
        <w:t>川藏铁路、波密至然乌支线铁路、雅下水电工程等重大工程项目</w:t>
      </w:r>
      <w:r>
        <w:rPr>
          <w:szCs w:val="32"/>
        </w:rPr>
        <w:t>建设的生活物资需求，培育生活物资供应及配套服务保障相关产业</w:t>
      </w:r>
      <w:r>
        <w:rPr>
          <w:rFonts w:hint="eastAsia"/>
          <w:szCs w:val="32"/>
        </w:rPr>
        <w:t>。</w:t>
      </w:r>
    </w:p>
    <w:p>
      <w:pPr>
        <w:rPr>
          <w:szCs w:val="32"/>
        </w:rPr>
      </w:pPr>
      <w:r>
        <w:rPr>
          <w:rFonts w:eastAsia="楷体_GB2312"/>
          <w:b/>
          <w:bCs/>
          <w:szCs w:val="32"/>
        </w:rPr>
        <w:t>做好生鲜农产品保供。</w:t>
      </w:r>
      <w:r>
        <w:rPr>
          <w:szCs w:val="32"/>
        </w:rPr>
        <w:t>强化产能调控、科技赋能、品牌培育等创新举措，在新鲜肉类及奶制品、蔬菜、水果、茶叶、水产等重点领域精准施策，构建多元化农产品稳产保供体系</w:t>
      </w:r>
      <w:r>
        <w:rPr>
          <w:rFonts w:hint="eastAsia"/>
          <w:szCs w:val="32"/>
        </w:rPr>
        <w:t>。及时制定保供产品目录、配送方式等保供方案，</w:t>
      </w:r>
      <w:r>
        <w:rPr>
          <w:szCs w:val="32"/>
        </w:rPr>
        <w:t>切实保障重大工程项目部“米袋子”“菜篮子”新鲜、有效供给。优化蔬菜水果生产区域布局，加快形成差异化、多元化的发展格局，抓好在田果蔬管理，保障农业生产安全稳定</w:t>
      </w:r>
      <w:r>
        <w:rPr>
          <w:rFonts w:hint="eastAsia"/>
          <w:szCs w:val="32"/>
        </w:rPr>
        <w:t>。</w:t>
      </w:r>
    </w:p>
    <w:p>
      <w:pPr>
        <w:rPr>
          <w:szCs w:val="32"/>
        </w:rPr>
      </w:pPr>
      <w:r>
        <w:rPr>
          <w:rFonts w:eastAsia="楷体_GB2312"/>
          <w:b/>
          <w:bCs/>
          <w:szCs w:val="32"/>
        </w:rPr>
        <w:t>完善</w:t>
      </w:r>
      <w:r>
        <w:rPr>
          <w:rFonts w:eastAsia="楷体_GB2312" w:hint="eastAsia"/>
          <w:b/>
          <w:bCs/>
          <w:szCs w:val="32"/>
        </w:rPr>
        <w:t>物资保障供应链</w:t>
      </w:r>
      <w:r>
        <w:rPr>
          <w:rFonts w:eastAsia="楷体_GB2312"/>
          <w:b/>
          <w:bCs/>
          <w:szCs w:val="32"/>
        </w:rPr>
        <w:t>。</w:t>
      </w:r>
      <w:r>
        <w:rPr>
          <w:szCs w:val="32"/>
        </w:rPr>
        <w:t>推动农副产品企业与成熟电商合作，打造生鲜食品产供销全产业链，加快建设农畜产品冷链物流体系，健全市场交易、仓储冷藏、物流配载、加工配送等服务功能。优先保障生活物资大仓、农批市场等项目建设，推动集冷链仓储、加工包装、产品交易、物流配送等服务于一体的</w:t>
      </w:r>
      <w:r>
        <w:rPr>
          <w:rFonts w:hint="eastAsia"/>
          <w:szCs w:val="32"/>
        </w:rPr>
        <w:t>公共大仓</w:t>
      </w:r>
      <w:r>
        <w:rPr>
          <w:szCs w:val="32"/>
        </w:rPr>
        <w:t>项目落户。推动全县农副产品批发市场改造升级，建设信息管理平台，提升市场交易和应急保供能力。发展数字化零售，推广无人售货、社区团购等模式，满足工程项目部日常用品及应急物资需求。</w:t>
      </w:r>
    </w:p>
    <w:p>
      <w:pPr>
        <w:pStyle w:val="2"/>
        <w:spacing w:after="190" w:line="576" w:lineRule="exact"/>
      </w:pPr>
      <w:bookmarkStart w:id="259" w:name="_Toc218406240"/>
      <w:bookmarkStart w:id="260" w:name="_Toc223858423"/>
      <w:r>
        <w:rPr>
          <w:rFonts w:hint="eastAsia"/>
        </w:rPr>
        <w:t>第六节</w:t>
      </w:r>
      <w:r>
        <w:t xml:space="preserve"> </w:t>
      </w:r>
      <w:r>
        <w:rPr>
          <w:rFonts w:hint="eastAsia"/>
        </w:rPr>
        <w:t>多措并举培育新质生产力</w:t>
      </w:r>
      <w:bookmarkEnd w:id="259"/>
      <w:bookmarkEnd w:id="260"/>
    </w:p>
    <w:p>
      <w:pPr>
        <w:rPr>
          <w:szCs w:val="32"/>
        </w:rPr>
      </w:pPr>
      <w:r>
        <w:rPr>
          <w:rFonts w:hint="eastAsia"/>
          <w:szCs w:val="32"/>
        </w:rPr>
        <w:t>以低空经济为支点，抢抓新赛道新机遇，积极探索智慧农业、绿色能源、人工智能等新质生产力。</w:t>
      </w:r>
    </w:p>
    <w:p>
      <w:pPr>
        <w:rPr>
          <w:szCs w:val="32"/>
        </w:rPr>
      </w:pPr>
      <w:r>
        <w:rPr>
          <w:rFonts w:eastAsia="楷体_GB2312" w:hint="eastAsia"/>
          <w:b/>
          <w:bCs/>
          <w:szCs w:val="32"/>
        </w:rPr>
        <w:t>探索低空经济创新发展模式。</w:t>
      </w:r>
      <w:r>
        <w:rPr>
          <w:rFonts w:hint="eastAsia"/>
          <w:b/>
          <w:bCs/>
          <w:szCs w:val="32"/>
        </w:rPr>
        <w:t>加快低空经济基础设施规划建设。</w:t>
      </w:r>
      <w:r>
        <w:rPr>
          <w:rFonts w:hint="eastAsia"/>
          <w:szCs w:val="32"/>
        </w:rPr>
        <w:t>持续优化低空航路航线划设和低空飞行起降设施规划布局，加快规划建设</w:t>
      </w:r>
      <w:r>
        <w:rPr>
          <w:szCs w:val="32"/>
        </w:rPr>
        <w:t>“</w:t>
      </w:r>
      <w:r>
        <w:rPr>
          <w:rFonts w:hint="eastAsia"/>
          <w:szCs w:val="32"/>
        </w:rPr>
        <w:t>设施网</w:t>
      </w:r>
      <w:r>
        <w:rPr>
          <w:szCs w:val="32"/>
        </w:rPr>
        <w:t>”</w:t>
      </w:r>
      <w:r>
        <w:rPr>
          <w:rFonts w:hint="eastAsia"/>
          <w:szCs w:val="32"/>
        </w:rPr>
        <w:t>、</w:t>
      </w:r>
      <w:r>
        <w:rPr>
          <w:szCs w:val="32"/>
        </w:rPr>
        <w:t>“</w:t>
      </w:r>
      <w:r>
        <w:rPr>
          <w:rFonts w:hint="eastAsia"/>
          <w:szCs w:val="32"/>
        </w:rPr>
        <w:t>航路网</w:t>
      </w:r>
      <w:r>
        <w:rPr>
          <w:szCs w:val="32"/>
        </w:rPr>
        <w:t>”</w:t>
      </w:r>
      <w:r>
        <w:rPr>
          <w:rFonts w:hint="eastAsia"/>
          <w:szCs w:val="32"/>
        </w:rPr>
        <w:t>和</w:t>
      </w:r>
      <w:r>
        <w:rPr>
          <w:szCs w:val="32"/>
        </w:rPr>
        <w:t>“</w:t>
      </w:r>
      <w:r>
        <w:rPr>
          <w:rFonts w:hint="eastAsia"/>
          <w:szCs w:val="32"/>
        </w:rPr>
        <w:t>服务网</w:t>
      </w:r>
      <w:r>
        <w:rPr>
          <w:szCs w:val="32"/>
        </w:rPr>
        <w:t>”</w:t>
      </w:r>
      <w:r>
        <w:rPr>
          <w:rFonts w:hint="eastAsia"/>
          <w:szCs w:val="32"/>
        </w:rPr>
        <w:t>，加快推进波密高原山区低空飞行器测试基地落地。优先开展波茂广场、桃花谷、嘎瓦龙、白普龙沟等景区无人机起降点建设，规划各乡镇常态化起降点。</w:t>
      </w:r>
      <w:r>
        <w:rPr>
          <w:rFonts w:hint="eastAsia"/>
          <w:b/>
          <w:bCs/>
          <w:szCs w:val="32"/>
        </w:rPr>
        <w:t>拓展低空经济应用场景。</w:t>
      </w:r>
      <w:r>
        <w:rPr>
          <w:rFonts w:hint="eastAsia"/>
          <w:szCs w:val="32"/>
        </w:rPr>
        <w:t>以特色旅游资源为支撑，开发推广低空观光、低空摄影等多元化低空旅游产品。开展景区物资配送、灾害应急救援、无人农林植保、农副产品运输、森林自动巡护、道路交通指挥等低空应用多场景应用测试，尽快实现各类商业运营场景。</w:t>
      </w:r>
      <w:r>
        <w:rPr>
          <w:rFonts w:hint="eastAsia"/>
          <w:b/>
          <w:bCs/>
          <w:szCs w:val="32"/>
        </w:rPr>
        <w:t>加强相关企业和人才培育。</w:t>
      </w:r>
      <w:r>
        <w:rPr>
          <w:rFonts w:hint="eastAsia"/>
          <w:szCs w:val="32"/>
        </w:rPr>
        <w:t>鼓励低空经济企业主体落户波密，鼓励本地传统企业与低空技术企业合作。培育引进低空经济高层次创新创业团队，探索发展高原特色低空经济职业技术培训。</w:t>
      </w:r>
    </w:p>
    <w:p>
      <w:pPr>
        <w:rPr>
          <w:szCs w:val="32"/>
        </w:rPr>
      </w:pPr>
      <w:bookmarkStart w:id="261" w:name="_Toc218406241"/>
      <w:r>
        <w:rPr>
          <w:rFonts w:eastAsia="楷体_GB2312" w:hint="eastAsia"/>
          <w:b/>
          <w:bCs/>
          <w:szCs w:val="32"/>
        </w:rPr>
        <w:t>前瞻各类战略新兴产业。</w:t>
      </w:r>
      <w:r>
        <w:rPr>
          <w:rFonts w:hint="eastAsia"/>
          <w:szCs w:val="32"/>
        </w:rPr>
        <w:t>积极培育数据要素市场，推进人工智能赋能各行各业，促进实体经济和数字经济深度融合。探索数字农业与智慧农业，通过引入机械化播种、智能灌溉和品种选育体系，建设作物种质资源库和数字农场平台，发展数字农机装备应用，推动农业遥感监测。探索清洁能源绿色制造，在光照条件好的乡镇尝试建设“光伏</w:t>
      </w:r>
      <w:r>
        <w:rPr>
          <w:szCs w:val="32"/>
        </w:rPr>
        <w:t>+</w:t>
      </w:r>
      <w:r>
        <w:rPr>
          <w:rFonts w:hint="eastAsia"/>
          <w:szCs w:val="32"/>
        </w:rPr>
        <w:t>冷库”，解决农特产品采后损耗问题，支撑电商上行。</w:t>
      </w:r>
      <w:bookmarkEnd w:id="261"/>
      <w:r>
        <w:rPr>
          <w:szCs w:val="32"/>
        </w:rPr>
        <w:br w:type="page"/>
      </w:r>
    </w:p>
    <w:p>
      <w:pPr>
        <w:pStyle w:val="1"/>
        <w:spacing w:after="190" w:line="576" w:lineRule="exact"/>
      </w:pPr>
      <w:bookmarkStart w:id="262" w:name="_Toc218406246"/>
      <w:bookmarkStart w:id="263" w:name="_Toc223858424"/>
      <w:bookmarkStart w:id="264" w:name="_Toc218406242"/>
      <w:r>
        <w:rPr>
          <w:rFonts w:hint="eastAsia"/>
        </w:rPr>
        <w:t>第五章</w:t>
      </w:r>
      <w:r>
        <w:t xml:space="preserve"> </w:t>
      </w:r>
      <w:r>
        <w:rPr>
          <w:rFonts w:hint="eastAsia"/>
        </w:rPr>
        <w:t>精准施策，</w:t>
      </w:r>
      <w:bookmarkEnd w:id="262"/>
      <w:r>
        <w:rPr>
          <w:rFonts w:hint="eastAsia"/>
        </w:rPr>
        <w:t>全面深化改革开放</w:t>
      </w:r>
      <w:bookmarkEnd w:id="263"/>
    </w:p>
    <w:p>
      <w:pPr>
        <w:pStyle w:val="2"/>
        <w:spacing w:after="190" w:line="576" w:lineRule="exact"/>
      </w:pPr>
      <w:bookmarkStart w:id="265" w:name="_Toc218406247"/>
      <w:bookmarkStart w:id="266" w:name="_Toc223858425"/>
      <w:r>
        <w:rPr>
          <w:rFonts w:hint="eastAsia"/>
        </w:rPr>
        <w:t>第一节</w:t>
      </w:r>
      <w:r>
        <w:t xml:space="preserve"> </w:t>
      </w:r>
      <w:r>
        <w:rPr>
          <w:rFonts w:hint="eastAsia"/>
        </w:rPr>
        <w:t>深化重点领域改革</w:t>
      </w:r>
      <w:bookmarkEnd w:id="265"/>
      <w:bookmarkEnd w:id="266"/>
    </w:p>
    <w:p>
      <w:pPr>
        <w:rPr>
          <w:szCs w:val="21"/>
        </w:rPr>
      </w:pPr>
      <w:r>
        <w:rPr>
          <w:rFonts w:eastAsia="楷体_GB2312" w:hint="eastAsia"/>
          <w:b/>
          <w:bCs/>
          <w:szCs w:val="32"/>
        </w:rPr>
        <w:t>推进财税国企改革与要素市场化配置。</w:t>
      </w:r>
      <w:r>
        <w:rPr>
          <w:rFonts w:hint="eastAsia"/>
          <w:szCs w:val="21"/>
        </w:rPr>
        <w:t>坚持系统集成、精准施策，推进财政综合管理、政府采购及财政投资评审等关键环节改革。积极稳妥推进国企改革，优化国有资本布局，鼓励发展混合所有制经济，促进各类所有制经济实现优势互补。深化人才机制改革，完善激励政策与编制管理，推动资源向基层一线倾斜。持续推进金融体制改革，完善融资担保体系，提升金融服务实体经济能力。加快数据要素市场化改革，建立规范有序的数据资源流通、开发及隐私保护制度。健全政企常态化沟通协商机制，构建亲清政商关系。</w:t>
      </w:r>
    </w:p>
    <w:p>
      <w:pPr>
        <w:rPr>
          <w:szCs w:val="21"/>
        </w:rPr>
      </w:pPr>
      <w:r>
        <w:rPr>
          <w:rFonts w:eastAsia="楷体_GB2312" w:hint="eastAsia"/>
          <w:b/>
          <w:bCs/>
          <w:szCs w:val="32"/>
        </w:rPr>
        <w:t>破解土地资源瓶颈。</w:t>
      </w:r>
      <w:r>
        <w:rPr>
          <w:rFonts w:hint="eastAsia"/>
          <w:szCs w:val="21"/>
        </w:rPr>
        <w:t>深化二三产混合用地改革，围绕服务保障重大项目，动态调整国土空间总体规划。深化土地制度改革，构建城乡统一建设用地市场。加快推进农牧区重点领域和关键环节改革，集约利用土地资源，盘活生产设施、宅基地及草场等沉睡资源，壮大集体经济规模。改革完善耕地占补平衡制度，在易贡乡格通村、松宗镇德巴村等村开发耕地后备资源，在八盖乡巴瑞村、雄吉村等村设立永久基本农田储备区，确保年度耕地总量动态平衡</w:t>
      </w:r>
      <w:bookmarkStart w:id="267" w:name="OLE_LINK46"/>
      <w:r>
        <w:rPr>
          <w:rFonts w:hint="eastAsia"/>
          <w:szCs w:val="21"/>
        </w:rPr>
        <w:t>。</w:t>
      </w:r>
      <w:bookmarkEnd w:id="267"/>
      <w:r>
        <w:rPr>
          <w:rFonts w:hint="eastAsia"/>
          <w:szCs w:val="21"/>
        </w:rPr>
        <w:t>切实提升耕地质量，推进高标准农田全覆盖，实施高山峡谷农田“四改工程”，提高耕地资源设施配套水平。</w:t>
      </w:r>
    </w:p>
    <w:p>
      <w:pPr>
        <w:rPr>
          <w:szCs w:val="21"/>
        </w:rPr>
      </w:pPr>
      <w:r>
        <w:rPr>
          <w:rFonts w:eastAsia="楷体_GB2312" w:hint="eastAsia"/>
          <w:b/>
          <w:bCs/>
          <w:szCs w:val="32"/>
        </w:rPr>
        <w:t>打通行业革新阻碍。</w:t>
      </w:r>
      <w:r>
        <w:rPr>
          <w:rFonts w:hint="eastAsia"/>
          <w:szCs w:val="21"/>
        </w:rPr>
        <w:t>健全旅游景区开发、运营、管理和盈利机制，推动景区资源由门票经济向产业综合经济转型。探索实施运营车辆市场化改革，整合交通运力资源，推动供需精准对接与规范匹配，构建多元化、便捷化、安全化的现代客运服务体系。</w:t>
      </w:r>
    </w:p>
    <w:tbl>
      <w:tblPr>
        <w:jc w:val="center"/>
        <w:tblW w:w="8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391"/>
      </w:tblGrid>
      <w:tr>
        <w:trPr>
          <w:trHeight w:val="70"/>
          <w:tblHeader/>
        </w:trPr>
        <w:tc>
          <w:tcPr>
            <w:tcW w:w="8391" w:type="dxa"/>
            <w:tcBorders>
              <w:bottom w:val="single" w:sz="4" w:space="0" w:color="auto"/>
            </w:tcBorders>
            <w:shd w:val="clear" w:color="auto" w:fill="C6D9F1"/>
            <w:vAlign w:val="center"/>
          </w:tcPr>
          <w:p>
            <w:pPr>
              <w:spacing w:line="240" w:lineRule="auto"/>
              <w:ind w:firstLineChars="0" w:firstLine="0"/>
              <w:jc w:val="center"/>
              <w:rPr>
                <w:rFonts w:ascii="方正楷体_GBK" w:eastAsia="方正楷体_GBK"/>
                <w:sz w:val="18"/>
                <w:szCs w:val="18"/>
              </w:rPr>
            </w:pPr>
            <w:r>
              <w:rPr>
                <w:rFonts w:ascii="方正楷体_GBK" w:eastAsia="方正楷体_GBK" w:hint="eastAsia"/>
                <w:sz w:val="18"/>
                <w:szCs w:val="18"/>
              </w:rPr>
              <w:t>专栏10  深化重点领域改革</w:t>
            </w:r>
          </w:p>
        </w:tc>
      </w:tr>
      <w:tr>
        <w:trPr>
          <w:trHeight w:val="979"/>
        </w:trPr>
        <w:tc>
          <w:tcPr>
            <w:tcW w:w="8391" w:type="dxa"/>
            <w:tcBorders>
              <w:top w:val="nil"/>
            </w:tcBorders>
            <w:shd w:val="clear" w:color="auto" w:fill="CCECFF"/>
            <w:vAlign w:val="center"/>
          </w:tcPr>
          <w:p>
            <w:pPr>
              <w:spacing w:line="240" w:lineRule="auto"/>
              <w:rPr>
                <w:rFonts w:eastAsia="方正楷体_GBK"/>
                <w:sz w:val="18"/>
                <w:szCs w:val="18"/>
              </w:rPr>
            </w:pPr>
            <w:r>
              <w:rPr>
                <w:rFonts w:eastAsia="方正楷体_GBK"/>
                <w:sz w:val="18"/>
                <w:szCs w:val="18"/>
              </w:rPr>
              <w:t xml:space="preserve">01 </w:t>
            </w:r>
            <w:r>
              <w:rPr>
                <w:rFonts w:eastAsia="方正楷体_GBK" w:hint="eastAsia"/>
                <w:sz w:val="18"/>
                <w:szCs w:val="18"/>
              </w:rPr>
              <w:t>破解土地资源瓶颈</w:t>
            </w:r>
          </w:p>
          <w:p>
            <w:pPr>
              <w:spacing w:line="240" w:lineRule="auto"/>
              <w:rPr>
                <w:rFonts w:eastAsia="宋体"/>
                <w:bCs/>
                <w:sz w:val="18"/>
                <w:szCs w:val="18"/>
              </w:rPr>
            </w:pPr>
            <w:r>
              <w:rPr>
                <w:rFonts w:eastAsia="方正仿宋_GBK" w:hint="eastAsia"/>
                <w:sz w:val="18"/>
                <w:szCs w:val="18"/>
              </w:rPr>
              <w:t>重点推进易贡乡、扎木镇、玉许乡等高标准农田建设，土壤修复及地力提升工程，高山峡谷农田“四改”工程。</w:t>
            </w:r>
          </w:p>
        </w:tc>
      </w:tr>
    </w:tbl>
    <w:p>
      <w:pPr>
        <w:pStyle w:val="2"/>
        <w:spacing w:after="190" w:line="576" w:lineRule="exact"/>
      </w:pPr>
      <w:bookmarkStart w:id="268" w:name="_Toc218406248"/>
      <w:bookmarkStart w:id="269" w:name="_Toc223858426"/>
      <w:r>
        <w:rPr>
          <w:rFonts w:hint="eastAsia"/>
        </w:rPr>
        <w:t>第二节</w:t>
      </w:r>
      <w:r>
        <w:t xml:space="preserve"> </w:t>
      </w:r>
      <w:r>
        <w:rPr>
          <w:rFonts w:hint="eastAsia"/>
        </w:rPr>
        <w:t>积极构建对外开放体系</w:t>
      </w:r>
      <w:bookmarkEnd w:id="268"/>
      <w:bookmarkEnd w:id="269"/>
    </w:p>
    <w:p>
      <w:pPr>
        <w:rPr>
          <w:rFonts w:eastAsia="楷体_GB2312"/>
          <w:b/>
          <w:szCs w:val="32"/>
        </w:rPr>
      </w:pPr>
      <w:r>
        <w:rPr>
          <w:rFonts w:eastAsia="楷体_GB2312"/>
          <w:b/>
          <w:szCs w:val="32"/>
        </w:rPr>
        <w:t>强化对口帮扶和东西部协作机制。</w:t>
      </w:r>
      <w:r>
        <w:rPr>
          <w:rFonts w:hint="eastAsia"/>
          <w:szCs w:val="32"/>
        </w:rPr>
        <w:t>充分发挥广州援藏平台和桥梁作用，建立“专家智囊团”长效合作机制，深化医疗教育人才“组团式”援藏。集聚优势资源打造一批具有较强标杆性、示范性、带动性重大项目。优化区域协作布局，探索与广州市及毗邻省市建立健全跨区域合作交流机制和平台，</w:t>
      </w:r>
      <w:bookmarkStart w:id="270" w:name="OLE_LINK213"/>
      <w:r>
        <w:rPr>
          <w:szCs w:val="32"/>
        </w:rPr>
        <w:t>引导东部地区优势产业向本地转移，</w:t>
      </w:r>
      <w:bookmarkEnd w:id="270"/>
      <w:r>
        <w:rPr>
          <w:rFonts w:hint="eastAsia"/>
          <w:szCs w:val="32"/>
        </w:rPr>
        <w:t>提升跨区域互联互通水平，深化重点领域合作，实现优势资源互补共享，畅通要素流动。</w:t>
      </w:r>
      <w:r>
        <w:rPr>
          <w:szCs w:val="21"/>
        </w:rPr>
        <w:t>推进人才互动交流</w:t>
      </w:r>
      <w:r>
        <w:rPr>
          <w:rFonts w:hint="eastAsia"/>
          <w:szCs w:val="21"/>
        </w:rPr>
        <w:t>，</w:t>
      </w:r>
      <w:r>
        <w:rPr>
          <w:szCs w:val="21"/>
        </w:rPr>
        <w:t>选派优秀干部赴</w:t>
      </w:r>
      <w:r>
        <w:rPr>
          <w:rFonts w:hint="eastAsia"/>
          <w:szCs w:val="21"/>
        </w:rPr>
        <w:t>广州</w:t>
      </w:r>
      <w:r>
        <w:rPr>
          <w:szCs w:val="21"/>
        </w:rPr>
        <w:t>挂职锻炼，引进东部专家开展技术帮扶，构建双向培养机制，持续提升本地人才队伍综合素质与实操能力。</w:t>
      </w:r>
      <w:bookmarkStart w:id="271" w:name="OLE_LINK210"/>
      <w:r>
        <w:rPr>
          <w:rFonts w:hint="eastAsia"/>
          <w:szCs w:val="32"/>
        </w:rPr>
        <w:t>深度融入成渝地区双城经济圈、大香格里拉经济圈、粤港澳大湾区，提升跨区域互联互通水平，构建以铁路建设辐射县区为重要节点的经济发展带。</w:t>
      </w:r>
      <w:bookmarkEnd w:id="271"/>
    </w:p>
    <w:p>
      <w:pPr>
        <w:rPr>
          <w:szCs w:val="21"/>
        </w:rPr>
      </w:pPr>
      <w:r>
        <w:rPr>
          <w:rFonts w:eastAsia="楷体_GB2312" w:hint="eastAsia"/>
          <w:b/>
          <w:bCs/>
          <w:szCs w:val="32"/>
        </w:rPr>
        <w:t>完善县域多级联动机制。</w:t>
      </w:r>
      <w:r>
        <w:rPr>
          <w:szCs w:val="32"/>
        </w:rPr>
        <w:t>加强与周边县域沟通协作，建立县域协同发展工作领导小组，定期召开工作会议，共同研究解决协同发展重大问题。制定县域协同发展规划，明确产业分工、基础设施共建共享、生态环境保护等方面合作内容与目标。</w:t>
      </w:r>
      <w:bookmarkStart w:id="272" w:name="OLE_LINK214"/>
      <w:r>
        <w:rPr>
          <w:szCs w:val="32"/>
        </w:rPr>
        <w:t>建立县域协同发展利益共享机制，合理分配合作项目产生的经济效益，充分调动各县参与协同发展的积极性。</w:t>
      </w:r>
      <w:bookmarkEnd w:id="272"/>
      <w:r>
        <w:rPr>
          <w:szCs w:val="32"/>
        </w:rPr>
        <w:t>根据各县资源禀赋与产业基础，打造特色产业集群，</w:t>
      </w:r>
      <w:bookmarkStart w:id="273" w:name="OLE_LINK15"/>
      <w:r>
        <w:rPr>
          <w:rFonts w:hint="eastAsia"/>
          <w:szCs w:val="32"/>
        </w:rPr>
        <w:t>强化与墨脱县旅游、林下经济、有机茶叶等产业的协同联动，</w:t>
      </w:r>
      <w:bookmarkEnd w:id="273"/>
      <w:r>
        <w:rPr>
          <w:szCs w:val="32"/>
        </w:rPr>
        <w:t>与墨脱共建林芝区域公共品牌。共同推进交通、水利、能源等基础设施互联互通，联合修建跨县域的公路、铁路，实现交通网络无缝对接，</w:t>
      </w:r>
      <w:r>
        <w:rPr>
          <w:rFonts w:hint="eastAsia"/>
          <w:szCs w:val="32"/>
        </w:rPr>
        <w:t>共同打造藏东南保供枢纽，</w:t>
      </w:r>
      <w:r>
        <w:rPr>
          <w:szCs w:val="32"/>
        </w:rPr>
        <w:t>与巴宜区、工布江达县共同加强川藏新通道建设。</w:t>
      </w:r>
    </w:p>
    <w:p>
      <w:pPr>
        <w:rPr>
          <w:szCs w:val="32"/>
        </w:rPr>
      </w:pPr>
      <w:r>
        <w:rPr>
          <w:rFonts w:eastAsia="楷体_GB2312" w:hint="eastAsia"/>
          <w:b/>
          <w:szCs w:val="32"/>
        </w:rPr>
        <w:t>完善</w:t>
      </w:r>
      <w:r>
        <w:rPr>
          <w:rFonts w:eastAsia="楷体_GB2312"/>
          <w:b/>
          <w:szCs w:val="32"/>
        </w:rPr>
        <w:t>制度型开放</w:t>
      </w:r>
      <w:r>
        <w:rPr>
          <w:rFonts w:eastAsia="楷体_GB2312" w:hint="eastAsia"/>
          <w:b/>
          <w:szCs w:val="32"/>
        </w:rPr>
        <w:t>体系</w:t>
      </w:r>
      <w:r>
        <w:rPr>
          <w:rFonts w:eastAsia="楷体_GB2312"/>
          <w:b/>
          <w:szCs w:val="32"/>
        </w:rPr>
        <w:t>。</w:t>
      </w:r>
      <w:r>
        <w:rPr>
          <w:rFonts w:hint="eastAsia"/>
          <w:szCs w:val="32"/>
        </w:rPr>
        <w:t>扩大开放区域，放宽区域准入限制。优化境外来藏人员支付服务，深化“金融</w:t>
      </w:r>
      <w:r>
        <w:rPr>
          <w:szCs w:val="32"/>
        </w:rPr>
        <w:t>+</w:t>
      </w:r>
      <w:r>
        <w:rPr>
          <w:rFonts w:hint="eastAsia"/>
          <w:szCs w:val="32"/>
        </w:rPr>
        <w:t>跨境”“线上</w:t>
      </w:r>
      <w:r>
        <w:rPr>
          <w:szCs w:val="32"/>
        </w:rPr>
        <w:t>+</w:t>
      </w:r>
      <w:r>
        <w:rPr>
          <w:rFonts w:hint="eastAsia"/>
          <w:szCs w:val="32"/>
        </w:rPr>
        <w:t>线下”服务创新，为县域外贸企业、境外来藏人员等提供涉外金融服务。持续推进农牧特色产品外贸出口业务，推动出口产品向高附加值与品牌化转型，积极拓展国际市场。</w:t>
      </w:r>
      <w:r>
        <w:rPr>
          <w:szCs w:val="32"/>
        </w:rPr>
        <w:t>建立专门的制度型开放研究小组，深入研究已有政策与发达地区政策，制定具有前瞻性与适应性的开放制度框架。定期组织政府部门、企业代表以及专家学者参与制度型开放研讨会，广泛征求各方意见，不断优化制度设计，确保政策的科学性与可行性。建立健全开放风险监测预警机制，最大限度降低风险损失。</w:t>
        <w:br w:type="page"/>
      </w:r>
    </w:p>
    <w:p>
      <w:pPr>
        <w:pStyle w:val="1"/>
        <w:spacing w:after="190" w:line="576" w:lineRule="exact"/>
      </w:pPr>
      <w:bookmarkStart w:id="274" w:name="_Toc223858427"/>
      <w:r>
        <w:t>第</w:t>
      </w:r>
      <w:r>
        <w:rPr>
          <w:rFonts w:hint="eastAsia"/>
        </w:rPr>
        <w:t>六</w:t>
      </w:r>
      <w:r>
        <w:t>章 破局开路，</w:t>
      </w:r>
      <w:r>
        <w:rPr>
          <w:rFonts w:hint="eastAsia"/>
        </w:rPr>
        <w:t>培育现代化市场体系</w:t>
      </w:r>
      <w:bookmarkEnd w:id="264"/>
      <w:bookmarkEnd w:id="274"/>
    </w:p>
    <w:p>
      <w:pPr>
        <w:pStyle w:val="2"/>
        <w:spacing w:after="190" w:line="576" w:lineRule="exact"/>
      </w:pPr>
      <w:bookmarkStart w:id="275" w:name="_Toc218406243"/>
      <w:bookmarkStart w:id="276" w:name="_Toc223858428"/>
      <w:r>
        <w:t xml:space="preserve">第一节 </w:t>
      </w:r>
      <w:r>
        <w:rPr>
          <w:rFonts w:hint="eastAsia"/>
        </w:rPr>
        <w:t>提振消费升级</w:t>
      </w:r>
      <w:bookmarkEnd w:id="275"/>
      <w:bookmarkEnd w:id="276"/>
    </w:p>
    <w:p>
      <w:pPr>
        <w:rPr>
          <w:rFonts w:eastAsia="楷体_GB2312"/>
          <w:b/>
          <w:bCs/>
          <w:szCs w:val="32"/>
        </w:rPr>
      </w:pPr>
      <w:r>
        <w:rPr>
          <w:rFonts w:eastAsia="楷体_GB2312" w:hint="eastAsia"/>
          <w:b/>
          <w:bCs/>
          <w:szCs w:val="32"/>
        </w:rPr>
        <w:t>提升消费能力。</w:t>
      </w:r>
      <w:r>
        <w:rPr>
          <w:rFonts w:hint="eastAsia"/>
          <w:szCs w:val="21"/>
        </w:rPr>
        <w:t>统筹促就业、增收入、稳预期，增强居民消费能力和意愿。</w:t>
      </w:r>
      <w:bookmarkStart w:id="277" w:name="OLE_LINK112"/>
      <w:r>
        <w:rPr>
          <w:rFonts w:hint="eastAsia"/>
          <w:szCs w:val="21"/>
        </w:rPr>
        <w:t>因地制宜挖掘多元消费潜力，发展数字消费、绿色消费、健康消费，培育壮大新型消费增长点，推动线上线下消费深度融合，不断丰富消费供给、提升消费品质，激活消费市场内生动力。</w:t>
      </w:r>
      <w:bookmarkEnd w:id="277"/>
      <w:r>
        <w:rPr>
          <w:rFonts w:hint="eastAsia"/>
          <w:szCs w:val="21"/>
        </w:rPr>
        <w:t>依托重大项目建设、发展优势产业、健全利益联结，完善劳动者工资正常增长机制，增加中低群体收入，培育消费主体。</w:t>
      </w:r>
      <w:bookmarkStart w:id="278" w:name="OLE_LINK183"/>
      <w:r>
        <w:rPr>
          <w:rFonts w:hint="eastAsia"/>
          <w:szCs w:val="21"/>
        </w:rPr>
        <w:t>持续实施提振消费专项行动，完善提振和扩大消费长效机制，多措并举增加服务消费，加大直达消费者的普惠政策力度，合理提高公共消费水平。</w:t>
      </w:r>
      <w:bookmarkEnd w:id="278"/>
    </w:p>
    <w:p>
      <w:pPr>
        <w:rPr>
          <w:szCs w:val="21"/>
        </w:rPr>
      </w:pPr>
      <w:r>
        <w:rPr>
          <w:rFonts w:eastAsia="楷体_GB2312" w:hint="eastAsia"/>
          <w:b/>
          <w:bCs/>
          <w:szCs w:val="32"/>
        </w:rPr>
        <w:t>改善消费环境。</w:t>
      </w:r>
      <w:r>
        <w:rPr>
          <w:rFonts w:hint="eastAsia"/>
          <w:szCs w:val="21"/>
        </w:rPr>
        <w:t>加强消费领域全过程监管，健全适应消费新业态新模式的管理办法，严厉打击各类违法违规行为，构建安全诚信的市场体系。强化消费者权益保护，完善多元化消费维权机制，提升在线争议解决效能。强化司法保障，依法惩治侵犯消费者权益犯罪，建立健全协同监管机制，系统性营造安全放心的消费环境。补齐基础设施短板、规范市场秩序，全面提升消费信心。</w:t>
      </w:r>
    </w:p>
    <w:p>
      <w:pPr>
        <w:pStyle w:val="2"/>
        <w:spacing w:after="190" w:line="576" w:lineRule="exact"/>
      </w:pPr>
      <w:bookmarkStart w:id="279" w:name="_Toc218406244"/>
      <w:bookmarkStart w:id="280" w:name="_Toc223858429"/>
      <w:r>
        <w:rPr>
          <w:rFonts w:hint="eastAsia"/>
        </w:rPr>
        <w:t>第二节</w:t>
      </w:r>
      <w:r>
        <w:t xml:space="preserve"> </w:t>
      </w:r>
      <w:r>
        <w:rPr>
          <w:rFonts w:hint="eastAsia"/>
        </w:rPr>
        <w:t>扩大精准投资</w:t>
      </w:r>
      <w:bookmarkEnd w:id="279"/>
      <w:bookmarkEnd w:id="280"/>
    </w:p>
    <w:p>
      <w:pPr>
        <w:rPr>
          <w:szCs w:val="21"/>
        </w:rPr>
      </w:pPr>
      <w:r>
        <w:rPr>
          <w:rFonts w:eastAsia="楷体_GB2312" w:hint="eastAsia"/>
          <w:b/>
          <w:bCs/>
          <w:szCs w:val="32"/>
        </w:rPr>
        <w:t>优化投资布局。</w:t>
      </w:r>
      <w:r>
        <w:rPr>
          <w:rFonts w:hint="eastAsia"/>
          <w:szCs w:val="21"/>
        </w:rPr>
        <w:t>紧盯国家战略导向与区域发展短板，着眼长远发展谋划实施一批重大标志性项目，</w:t>
      </w:r>
      <w:bookmarkStart w:id="281" w:name="OLE_LINK95"/>
      <w:r>
        <w:rPr>
          <w:rFonts w:hint="eastAsia"/>
          <w:szCs w:val="21"/>
        </w:rPr>
        <w:t>高质量推进重大战略实施和重点领域安全能力项目建设</w:t>
      </w:r>
      <w:bookmarkEnd w:id="281"/>
      <w:r>
        <w:rPr>
          <w:rFonts w:hint="eastAsia"/>
          <w:szCs w:val="21"/>
        </w:rPr>
        <w:t>，发挥重大项目牵引和政府投资撬动作用，持续加大对关键领域和薄弱环节的投入力度。坚持投资于物与投资于人相结合，</w:t>
      </w:r>
      <w:bookmarkStart w:id="282" w:name="OLE_LINK132"/>
      <w:r>
        <w:rPr>
          <w:rFonts w:hint="eastAsia"/>
          <w:szCs w:val="21"/>
        </w:rPr>
        <w:t>充分预估波密县未来人口增量、结构变化和流动趋势，</w:t>
      </w:r>
      <w:bookmarkEnd w:id="282"/>
      <w:r>
        <w:rPr>
          <w:szCs w:val="21"/>
        </w:rPr>
        <w:t>实现硬设施建设与</w:t>
      </w:r>
      <w:r>
        <w:rPr>
          <w:rFonts w:hint="eastAsia"/>
          <w:szCs w:val="21"/>
        </w:rPr>
        <w:t>人才培养</w:t>
      </w:r>
      <w:r>
        <w:rPr>
          <w:szCs w:val="21"/>
        </w:rPr>
        <w:t>的全面投资</w:t>
      </w:r>
      <w:r>
        <w:rPr>
          <w:rFonts w:hint="eastAsia"/>
          <w:szCs w:val="21"/>
        </w:rPr>
        <w:t>、</w:t>
      </w:r>
      <w:r>
        <w:rPr>
          <w:szCs w:val="21"/>
        </w:rPr>
        <w:t>协同并进。</w:t>
      </w:r>
      <w:r>
        <w:rPr>
          <w:rFonts w:hint="eastAsia"/>
          <w:szCs w:val="21"/>
        </w:rPr>
        <w:t>全力支持规上工业壮大体量，力争“十五五”期间新增规上工业企业</w:t>
      </w:r>
      <w:r>
        <w:rPr>
          <w:szCs w:val="21"/>
        </w:rPr>
        <w:t>2</w:t>
      </w:r>
      <w:r>
        <w:rPr>
          <w:rFonts w:hint="eastAsia"/>
          <w:szCs w:val="21"/>
        </w:rPr>
        <w:t>家。</w:t>
      </w:r>
    </w:p>
    <w:p>
      <w:pPr>
        <w:rPr>
          <w:szCs w:val="21"/>
        </w:rPr>
      </w:pPr>
      <w:r>
        <w:rPr>
          <w:rFonts w:eastAsia="楷体_GB2312" w:hint="eastAsia"/>
          <w:b/>
          <w:bCs/>
          <w:szCs w:val="32"/>
        </w:rPr>
        <w:t>强化要素支撑。</w:t>
      </w:r>
      <w:bookmarkStart w:id="283" w:name="OLE_LINK130"/>
      <w:r>
        <w:rPr>
          <w:rFonts w:hint="eastAsia"/>
          <w:szCs w:val="21"/>
        </w:rPr>
        <w:t>完善项目全生命周期管理机制，强化土地、资金、能耗等核心要素的精准配置，</w:t>
      </w:r>
      <w:bookmarkEnd w:id="283"/>
      <w:r>
        <w:rPr>
          <w:szCs w:val="21"/>
        </w:rPr>
        <w:t>突出抓好项目建设进度管理</w:t>
      </w:r>
      <w:r>
        <w:rPr>
          <w:rFonts w:hint="eastAsia"/>
          <w:szCs w:val="21"/>
        </w:rPr>
        <w:t>。持续做好川藏铁路、波密至然乌支线铁路、波密通用机场等重大项目建设服务保障工作</w:t>
      </w:r>
      <w:r>
        <w:rPr>
          <w:szCs w:val="21"/>
        </w:rPr>
        <w:t>。</w:t>
      </w:r>
      <w:r>
        <w:rPr>
          <w:rFonts w:hint="eastAsia"/>
          <w:szCs w:val="21"/>
        </w:rPr>
        <w:t>适度预留提升县城综合承载能力、完善交通市政等基础设施、建设产业园区用地，积极服务保障雅下水电工程建设。</w:t>
      </w:r>
      <w:r>
        <w:rPr>
          <w:szCs w:val="21"/>
        </w:rPr>
        <w:t>优化政府投资结构，确保资源向效益高、牵引力强的重大工程倾斜，以高质量项目建设支撑高质量发展。</w:t>
      </w:r>
      <w:bookmarkStart w:id="284" w:name="OLE_LINK159"/>
    </w:p>
    <w:p>
      <w:pPr>
        <w:rPr>
          <w:rFonts w:eastAsia="楷体_GB2312"/>
          <w:b/>
          <w:bCs/>
          <w:szCs w:val="32"/>
        </w:rPr>
      </w:pPr>
      <w:bookmarkEnd w:id="284"/>
      <w:r>
        <w:rPr>
          <w:rFonts w:eastAsia="楷体_GB2312" w:hint="eastAsia"/>
          <w:b/>
          <w:bCs/>
          <w:szCs w:val="32"/>
        </w:rPr>
        <w:t>拓宽投资渠道。</w:t>
      </w:r>
      <w:r>
        <w:rPr>
          <w:szCs w:val="21"/>
        </w:rPr>
        <w:t>充分发挥</w:t>
      </w:r>
      <w:r>
        <w:rPr>
          <w:rFonts w:hint="eastAsia"/>
          <w:szCs w:val="21"/>
        </w:rPr>
        <w:t>重大</w:t>
      </w:r>
      <w:r>
        <w:rPr>
          <w:szCs w:val="21"/>
        </w:rPr>
        <w:t>项目牵引作用，</w:t>
      </w:r>
      <w:bookmarkStart w:id="285" w:name="OLE_LINK134"/>
      <w:r>
        <w:rPr>
          <w:rFonts w:hint="eastAsia"/>
          <w:szCs w:val="21"/>
        </w:rPr>
        <w:t>用好援藏平台强化招商引资，</w:t>
      </w:r>
      <w:bookmarkEnd w:id="285"/>
      <w:r>
        <w:rPr>
          <w:szCs w:val="21"/>
        </w:rPr>
        <w:t>稳步提高民间投资在重点领域比重。聚焦产业链薄弱环节开展精准招商，吸引更多社会资本参与重大工程与补短板项目建设。构建政府投资与民间投资协同联动的投融资机制，形成多元参与、持续增长的良好投资格局。</w:t>
      </w:r>
    </w:p>
    <w:p>
      <w:pPr>
        <w:pStyle w:val="2"/>
        <w:spacing w:after="190" w:line="576" w:lineRule="exact"/>
      </w:pPr>
      <w:bookmarkStart w:id="286" w:name="_Toc218406245"/>
      <w:bookmarkStart w:id="287" w:name="_Toc223858430"/>
      <w:r>
        <w:rPr>
          <w:rFonts w:hint="eastAsia"/>
        </w:rPr>
        <w:t>第三节</w:t>
      </w:r>
      <w:r>
        <w:t xml:space="preserve"> </w:t>
      </w:r>
      <w:r>
        <w:rPr>
          <w:rFonts w:hint="eastAsia"/>
        </w:rPr>
        <w:t>创优营商环境</w:t>
      </w:r>
      <w:bookmarkEnd w:id="286"/>
      <w:bookmarkEnd w:id="287"/>
    </w:p>
    <w:p>
      <w:pPr>
        <w:rPr>
          <w:szCs w:val="21"/>
        </w:rPr>
      </w:pPr>
      <w:r>
        <w:rPr>
          <w:rFonts w:eastAsia="楷体_GB2312"/>
          <w:b/>
          <w:bCs/>
          <w:szCs w:val="32"/>
        </w:rPr>
        <w:t>深化政府职能转变与管理效能提升。</w:t>
      </w:r>
      <w:r>
        <w:rPr>
          <w:szCs w:val="21"/>
        </w:rPr>
        <w:t>聚焦高质量发展重点领域，着力破除跨地区、跨行业体制性障碍，增强改革措施的系统性与取向一致性。深化“放管服”改革，厘清部门权责边界，健全部门职责分工机制，解决政策衔接不畅、权责不明导致的行政资源占用问题。加快转变政府治理方式，</w:t>
      </w:r>
      <w:bookmarkStart w:id="288" w:name="OLE_LINK119"/>
      <w:r>
        <w:rPr>
          <w:rFonts w:hint="eastAsia"/>
          <w:szCs w:val="32"/>
        </w:rPr>
        <w:t>深入创新政府管理与服务模式，建设智能化政务服务平台，推进</w:t>
      </w:r>
      <w:r>
        <w:rPr>
          <w:szCs w:val="32"/>
        </w:rPr>
        <w:t>“</w:t>
      </w:r>
      <w:r>
        <w:rPr>
          <w:rFonts w:hint="eastAsia"/>
          <w:szCs w:val="32"/>
        </w:rPr>
        <w:t>数字</w:t>
      </w:r>
      <w:r>
        <w:rPr>
          <w:szCs w:val="32"/>
        </w:rPr>
        <w:t>+”</w:t>
      </w:r>
      <w:r>
        <w:rPr>
          <w:rFonts w:hint="eastAsia"/>
          <w:szCs w:val="32"/>
        </w:rPr>
        <w:t>模式、</w:t>
      </w:r>
      <w:r>
        <w:rPr>
          <w:szCs w:val="32"/>
        </w:rPr>
        <w:t>“</w:t>
      </w:r>
      <w:r>
        <w:rPr>
          <w:rFonts w:hint="eastAsia"/>
          <w:szCs w:val="32"/>
        </w:rPr>
        <w:t>一门</w:t>
      </w:r>
      <w:r>
        <w:rPr>
          <w:szCs w:val="32"/>
        </w:rPr>
        <w:t>”</w:t>
      </w:r>
      <w:r>
        <w:rPr>
          <w:rFonts w:hint="eastAsia"/>
          <w:szCs w:val="32"/>
        </w:rPr>
        <w:t>建设，</w:t>
      </w:r>
      <w:bookmarkEnd w:id="288"/>
      <w:r>
        <w:rPr>
          <w:szCs w:val="21"/>
        </w:rPr>
        <w:t>构建低成本、广覆盖、高质量的数字化服务体系</w:t>
      </w:r>
      <w:r>
        <w:rPr>
          <w:rFonts w:hint="eastAsia"/>
          <w:szCs w:val="21"/>
        </w:rPr>
        <w:t>。</w:t>
      </w:r>
      <w:bookmarkStart w:id="289" w:name="OLE_LINK121"/>
      <w:bookmarkStart w:id="290" w:name="OLE_LINK120"/>
      <w:r>
        <w:rPr>
          <w:rFonts w:hint="eastAsia"/>
          <w:szCs w:val="32"/>
        </w:rPr>
        <w:t>整合社会面、学校及重点场所数字化管控资源，</w:t>
      </w:r>
      <w:bookmarkStart w:id="291" w:name="OLE_LINK122"/>
      <w:bookmarkEnd w:id="289"/>
      <w:r>
        <w:rPr>
          <w:rFonts w:hint="eastAsia"/>
          <w:szCs w:val="32"/>
        </w:rPr>
        <w:t>建设统一管理平台，</w:t>
      </w:r>
      <w:bookmarkEnd w:id="291"/>
      <w:r>
        <w:rPr>
          <w:rFonts w:hint="eastAsia"/>
          <w:szCs w:val="32"/>
        </w:rPr>
        <w:t>加快公共数据集成共享，</w:t>
      </w:r>
      <w:bookmarkStart w:id="292" w:name="OLE_LINK123"/>
      <w:r>
        <w:rPr>
          <w:rFonts w:hint="eastAsia"/>
          <w:szCs w:val="32"/>
        </w:rPr>
        <w:t>强化数据互联互通，</w:t>
      </w:r>
      <w:bookmarkEnd w:id="292"/>
      <w:r>
        <w:rPr>
          <w:rFonts w:hint="eastAsia"/>
          <w:szCs w:val="32"/>
        </w:rPr>
        <w:t>构建高效数据交换机制，提升政策执行透明度与协同性</w:t>
      </w:r>
      <w:bookmarkEnd w:id="290"/>
      <w:r>
        <w:rPr>
          <w:rFonts w:hint="eastAsia"/>
          <w:szCs w:val="32"/>
        </w:rPr>
        <w:t>，</w:t>
      </w:r>
      <w:r>
        <w:rPr>
          <w:szCs w:val="21"/>
        </w:rPr>
        <w:t>打通部门信息孤岛，推动政务外网按需升级扩容。建立健全重大政策事前评估与事后评价机制，建立动态修订与退出机制，确保决策科学化、民主化。</w:t>
      </w:r>
    </w:p>
    <w:p>
      <w:pPr>
        <w:rPr>
          <w:szCs w:val="32"/>
        </w:rPr>
      </w:pPr>
      <w:r>
        <w:rPr>
          <w:rFonts w:eastAsia="楷体_GB2312"/>
          <w:b/>
          <w:bCs/>
          <w:szCs w:val="32"/>
        </w:rPr>
        <w:t>打造</w:t>
      </w:r>
      <w:r>
        <w:rPr>
          <w:rFonts w:eastAsia="楷体_GB2312" w:hint="eastAsia"/>
          <w:b/>
          <w:bCs/>
          <w:szCs w:val="32"/>
        </w:rPr>
        <w:t>市场法治化</w:t>
      </w:r>
      <w:r>
        <w:rPr>
          <w:rFonts w:eastAsia="楷体_GB2312"/>
          <w:b/>
          <w:bCs/>
          <w:szCs w:val="32"/>
        </w:rPr>
        <w:t>亲商服务环境。</w:t>
      </w:r>
      <w:r>
        <w:rPr>
          <w:rFonts w:hint="eastAsia"/>
          <w:szCs w:val="32"/>
        </w:rPr>
        <w:t>坚持市场化、法治化导向，</w:t>
      </w:r>
      <w:r>
        <w:rPr>
          <w:szCs w:val="21"/>
        </w:rPr>
        <w:t>深化行政审批制度改革</w:t>
      </w:r>
      <w:r>
        <w:rPr>
          <w:rFonts w:hint="eastAsia"/>
          <w:szCs w:val="21"/>
        </w:rPr>
        <w:t>。</w:t>
      </w:r>
      <w:r>
        <w:rPr>
          <w:szCs w:val="21"/>
        </w:rPr>
        <w:t>动态调整权责清单，持续压减行政审批事项，对小微民生项目推行环评备案豁免制度。建立重点项目联审联批</w:t>
      </w:r>
      <w:r>
        <w:rPr>
          <w:rFonts w:hint="eastAsia"/>
          <w:szCs w:val="21"/>
        </w:rPr>
        <w:t>“</w:t>
      </w:r>
      <w:r>
        <w:rPr>
          <w:szCs w:val="21"/>
        </w:rPr>
        <w:t>绿色通道</w:t>
      </w:r>
      <w:r>
        <w:rPr>
          <w:rFonts w:hint="eastAsia"/>
          <w:szCs w:val="21"/>
        </w:rPr>
        <w:t>”</w:t>
      </w:r>
      <w:r>
        <w:rPr>
          <w:szCs w:val="21"/>
        </w:rPr>
        <w:t>，优化政府与市场关系，确保资源配置高效规范。全面落实公平竞争审查制度，强化第三方评估与公示考核，保障各类所有制企业依法平等获取资源要素。优化工程建设审批流程，完善征地拆迁与土地供给保障体系，提供项目全生命周期跟踪服务，</w:t>
      </w:r>
      <w:r>
        <w:rPr>
          <w:rFonts w:hint="eastAsia"/>
          <w:szCs w:val="32"/>
        </w:rPr>
        <w:t>解决企业落地、投产、经营中的难点堵点。设立企业综合法律服务窗口，开通产权纠纷与民营企业保护“绿色通道”，依法平等保护各类经济主体权益。</w:t>
      </w:r>
    </w:p>
    <w:p>
      <w:pPr>
        <w:rPr>
          <w:szCs w:val="21"/>
        </w:rPr>
      </w:pPr>
      <w:r>
        <w:rPr>
          <w:rFonts w:eastAsia="楷体_GB2312"/>
          <w:b/>
          <w:bCs/>
          <w:szCs w:val="32"/>
        </w:rPr>
        <w:t>激发企业发展活力</w:t>
      </w:r>
      <w:r>
        <w:rPr>
          <w:rFonts w:eastAsia="楷体_GB2312" w:hint="eastAsia"/>
          <w:b/>
          <w:bCs/>
          <w:szCs w:val="32"/>
        </w:rPr>
        <w:t>与创新动能</w:t>
      </w:r>
      <w:r>
        <w:rPr>
          <w:rFonts w:eastAsia="楷体_GB2312"/>
          <w:b/>
          <w:bCs/>
          <w:szCs w:val="32"/>
        </w:rPr>
        <w:t>。</w:t>
      </w:r>
      <w:r>
        <w:rPr>
          <w:szCs w:val="32"/>
        </w:rPr>
        <w:t>完善支持企业发展的政策体系，</w:t>
      </w:r>
      <w:r>
        <w:rPr>
          <w:rFonts w:hint="eastAsia"/>
          <w:szCs w:val="21"/>
        </w:rPr>
        <w:t>通过政府资源调度金融优势，提高金融机构金融侧供给，</w:t>
      </w:r>
      <w:r>
        <w:rPr>
          <w:szCs w:val="32"/>
        </w:rPr>
        <w:t>优化营商软环境，增强企业投资信心。</w:t>
      </w:r>
      <w:r>
        <w:rPr>
          <w:szCs w:val="21"/>
        </w:rPr>
        <w:t>全面落实减税降费政策，推行精准税费优惠“直达快享”，简化申报流程</w:t>
      </w:r>
      <w:r>
        <w:rPr>
          <w:rFonts w:hint="eastAsia"/>
          <w:szCs w:val="21"/>
        </w:rPr>
        <w:t>，</w:t>
      </w:r>
      <w:r>
        <w:rPr>
          <w:szCs w:val="21"/>
        </w:rPr>
        <w:t>释放政策红利。</w:t>
      </w:r>
      <w:r>
        <w:rPr>
          <w:rFonts w:hint="eastAsia"/>
          <w:szCs w:val="32"/>
        </w:rPr>
        <w:t>完善涉企经营性服务收费清单制度，建立拖欠企业账款预防与清查机制，强化审计、督查、巡察常态化对接，维护企业合法权益。</w:t>
      </w:r>
      <w:r>
        <w:rPr>
          <w:szCs w:val="21"/>
        </w:rPr>
        <w:t>深化产学研协同创新机制，搭建技术研发与成果转化平台，支持企业开展产品升级与关键技术突破。重点扶持高新技术与创新型企业，</w:t>
      </w:r>
      <w:bookmarkStart w:id="293" w:name="OLE_LINK204"/>
      <w:r>
        <w:rPr>
          <w:szCs w:val="21"/>
        </w:rPr>
        <w:t>动态跟踪</w:t>
      </w:r>
      <w:bookmarkEnd w:id="293"/>
      <w:r>
        <w:rPr>
          <w:szCs w:val="21"/>
        </w:rPr>
        <w:t>企业</w:t>
      </w:r>
      <w:r>
        <w:rPr>
          <w:rFonts w:hint="eastAsia"/>
          <w:szCs w:val="21"/>
        </w:rPr>
        <w:t>发展</w:t>
      </w:r>
      <w:r>
        <w:rPr>
          <w:szCs w:val="21"/>
        </w:rPr>
        <w:t>。完善民营经济发展监测分析机制，建立企业社会责任评价与激励体系，鼓励</w:t>
      </w:r>
      <w:r>
        <w:rPr>
          <w:rFonts w:hint="eastAsia"/>
          <w:szCs w:val="21"/>
        </w:rPr>
        <w:t>企业</w:t>
      </w:r>
      <w:r>
        <w:rPr>
          <w:szCs w:val="21"/>
        </w:rPr>
        <w:t>参与社会治理。</w:t>
        <w:br w:type="page"/>
      </w:r>
    </w:p>
    <w:p>
      <w:pPr>
        <w:pStyle w:val="1"/>
        <w:spacing w:after="190" w:line="576" w:lineRule="exact"/>
      </w:pPr>
      <w:bookmarkStart w:id="294" w:name="_Toc218406249"/>
      <w:bookmarkStart w:id="295" w:name="_Toc223858431"/>
      <w:r>
        <w:t>第</w:t>
      </w:r>
      <w:r>
        <w:rPr>
          <w:rFonts w:hint="eastAsia"/>
        </w:rPr>
        <w:t>七</w:t>
      </w:r>
      <w:r>
        <w:t>章 强化提升，完善基础设施建设</w:t>
      </w:r>
      <w:bookmarkEnd w:id="294"/>
      <w:bookmarkEnd w:id="295"/>
    </w:p>
    <w:p>
      <w:pPr>
        <w:pStyle w:val="2"/>
        <w:spacing w:after="190" w:line="576" w:lineRule="exact"/>
      </w:pPr>
      <w:bookmarkStart w:id="296" w:name="_Toc218406250"/>
      <w:bookmarkStart w:id="297" w:name="_Toc223858432"/>
      <w:r>
        <w:t>第一节 构建综合立体交通网络</w:t>
      </w:r>
      <w:bookmarkEnd w:id="296"/>
      <w:bookmarkEnd w:id="297"/>
    </w:p>
    <w:p>
      <w:pPr>
        <w:rPr>
          <w:bCs/>
          <w:szCs w:val="32"/>
        </w:rPr>
      </w:pPr>
      <w:r>
        <w:rPr>
          <w:bCs/>
          <w:szCs w:val="32"/>
        </w:rPr>
        <w:t>以川藏铁路和</w:t>
      </w:r>
      <w:r>
        <w:rPr>
          <w:rFonts w:hint="eastAsia"/>
          <w:szCs w:val="32"/>
        </w:rPr>
        <w:t>波密至然乌支线铁路</w:t>
      </w:r>
      <w:r>
        <w:rPr>
          <w:bCs/>
          <w:szCs w:val="32"/>
        </w:rPr>
        <w:t>为支点，进一步强化波密县交通基础设施建设及周边市县互联互通，增强对内对外通达能力</w:t>
      </w:r>
      <w:r>
        <w:rPr>
          <w:rFonts w:hint="eastAsia"/>
          <w:bCs/>
          <w:szCs w:val="32"/>
        </w:rPr>
        <w:t>，</w:t>
      </w:r>
      <w:r>
        <w:rPr>
          <w:bCs/>
          <w:szCs w:val="32"/>
        </w:rPr>
        <w:t>构建完善以铁路、高等级公路和机场为骨干，</w:t>
      </w:r>
      <w:r>
        <w:rPr>
          <w:rFonts w:hint="eastAsia"/>
          <w:bCs/>
          <w:szCs w:val="32"/>
        </w:rPr>
        <w:t>国省干道为主体，乡村道路为补充的综合立体交通网络。</w:t>
      </w:r>
    </w:p>
    <w:p>
      <w:pPr>
        <w:rPr>
          <w:bCs/>
          <w:szCs w:val="32"/>
        </w:rPr>
      </w:pPr>
      <w:r>
        <w:rPr>
          <w:rFonts w:eastAsia="楷体_GB2312" w:hint="eastAsia"/>
          <w:b/>
          <w:szCs w:val="32"/>
        </w:rPr>
        <w:t>加快推进机场铁路重大项目建设</w:t>
      </w:r>
      <w:r>
        <w:rPr>
          <w:rFonts w:eastAsia="楷体_GB2312"/>
          <w:b/>
          <w:szCs w:val="32"/>
        </w:rPr>
        <w:t>。</w:t>
      </w:r>
      <w:r>
        <w:rPr>
          <w:bCs/>
          <w:szCs w:val="32"/>
        </w:rPr>
        <w:t>加快建设波密</w:t>
      </w:r>
      <w:r>
        <w:rPr>
          <w:rFonts w:hint="eastAsia"/>
          <w:bCs/>
          <w:szCs w:val="32"/>
        </w:rPr>
        <w:t>通用</w:t>
      </w:r>
      <w:r>
        <w:rPr>
          <w:bCs/>
          <w:szCs w:val="32"/>
        </w:rPr>
        <w:t>机场，提前推进应急救援、短途运输、低空旅游、</w:t>
      </w:r>
      <w:r>
        <w:rPr>
          <w:szCs w:val="21"/>
        </w:rPr>
        <w:t>农林牧作业等服务。</w:t>
      </w:r>
      <w:r>
        <w:rPr>
          <w:rFonts w:hint="eastAsia"/>
          <w:szCs w:val="21"/>
        </w:rPr>
        <w:t>加快铁路骨干通道建设，</w:t>
      </w:r>
      <w:r>
        <w:rPr>
          <w:szCs w:val="21"/>
        </w:rPr>
        <w:t>重点保障川藏铁路波密段隧道群施工配套服务</w:t>
      </w:r>
      <w:r>
        <w:rPr>
          <w:rFonts w:hint="eastAsia"/>
          <w:szCs w:val="21"/>
        </w:rPr>
        <w:t>，新建</w:t>
      </w:r>
      <w:r>
        <w:rPr>
          <w:rFonts w:hint="eastAsia"/>
          <w:szCs w:val="32"/>
        </w:rPr>
        <w:t>波密至然乌支线铁路</w:t>
      </w:r>
      <w:r>
        <w:rPr>
          <w:szCs w:val="21"/>
        </w:rPr>
        <w:t>，谋划川藏铁路波密</w:t>
      </w:r>
      <w:r>
        <w:rPr>
          <w:rFonts w:hint="eastAsia"/>
          <w:szCs w:val="21"/>
        </w:rPr>
        <w:t>—</w:t>
      </w:r>
      <w:r>
        <w:rPr>
          <w:szCs w:val="21"/>
        </w:rPr>
        <w:t>墨脱铁路延长线</w:t>
      </w:r>
      <w:r>
        <w:rPr>
          <w:bCs/>
          <w:szCs w:val="32"/>
        </w:rPr>
        <w:t>。</w:t>
      </w:r>
    </w:p>
    <w:p>
      <w:pPr>
        <w:rPr>
          <w:szCs w:val="21"/>
        </w:rPr>
      </w:pPr>
      <w:r>
        <w:rPr>
          <w:rFonts w:eastAsia="楷体_GB2312" w:hint="eastAsia"/>
          <w:b/>
          <w:szCs w:val="32"/>
        </w:rPr>
        <w:t>加强区域公路互通建设。</w:t>
      </w:r>
      <w:r>
        <w:rPr>
          <w:szCs w:val="21"/>
        </w:rPr>
        <w:t>加快G219</w:t>
      </w:r>
      <w:r>
        <w:rPr>
          <w:rFonts w:hint="eastAsia"/>
          <w:szCs w:val="21"/>
        </w:rPr>
        <w:t>、</w:t>
      </w:r>
      <w:r>
        <w:rPr>
          <w:szCs w:val="21"/>
        </w:rPr>
        <w:t>G318公路提质升级，</w:t>
      </w:r>
      <w:r>
        <w:rPr>
          <w:rFonts w:hint="eastAsia"/>
          <w:szCs w:val="21"/>
        </w:rPr>
        <w:t>推进</w:t>
      </w:r>
      <w:r>
        <w:rPr>
          <w:szCs w:val="21"/>
        </w:rPr>
        <w:t>G4218</w:t>
      </w:r>
      <w:r>
        <w:rPr>
          <w:rFonts w:hint="eastAsia"/>
          <w:szCs w:val="21"/>
        </w:rPr>
        <w:t>巴宜区至波密段高速公路，做好火车站、机场至县城快速路与</w:t>
      </w:r>
      <w:r>
        <w:rPr>
          <w:szCs w:val="21"/>
        </w:rPr>
        <w:t>G4218</w:t>
      </w:r>
      <w:r>
        <w:rPr>
          <w:rFonts w:hint="eastAsia"/>
          <w:szCs w:val="21"/>
        </w:rPr>
        <w:t>科学衔接，</w:t>
      </w:r>
      <w:r>
        <w:rPr>
          <w:rFonts w:hint="eastAsia"/>
          <w:bCs/>
          <w:szCs w:val="32"/>
        </w:rPr>
        <w:t>加强火车站与嘎朗村等交通连接</w:t>
      </w:r>
      <w:r>
        <w:rPr>
          <w:rFonts w:hint="eastAsia"/>
          <w:szCs w:val="21"/>
        </w:rPr>
        <w:t>。加快推进县域路网建设提质工程，打通毗邻市、县、乡（镇）之间的“断头路”，</w:t>
      </w:r>
      <w:r>
        <w:rPr>
          <w:szCs w:val="21"/>
        </w:rPr>
        <w:t>实施S303线波密县通麦大桥至嘉黎县尼屋乡公路改扩建工程、S525</w:t>
      </w:r>
      <w:r>
        <w:rPr>
          <w:rFonts w:hint="eastAsia"/>
          <w:szCs w:val="21"/>
        </w:rPr>
        <w:t>倾多镇大桥至边坝县公路改建工程，推进</w:t>
      </w:r>
      <w:r>
        <w:rPr>
          <w:szCs w:val="21"/>
        </w:rPr>
        <w:t>G559</w:t>
      </w:r>
      <w:r>
        <w:rPr>
          <w:rFonts w:hint="eastAsia"/>
          <w:szCs w:val="21"/>
        </w:rPr>
        <w:t>波密—墨脱公路提质改造项目，建设松宗栋曲至墨脱格当公路等，优化与昌都市、那曲市、墨脱县、察隅县的公路互联通道。</w:t>
      </w:r>
    </w:p>
    <w:p>
      <w:pPr>
        <w:rPr>
          <w:szCs w:val="21"/>
        </w:rPr>
      </w:pPr>
      <w:r>
        <w:rPr>
          <w:rFonts w:eastAsia="楷体_GB2312"/>
          <w:b/>
          <w:szCs w:val="32"/>
        </w:rPr>
        <w:t>加密提质县域骨干路网</w:t>
      </w:r>
      <w:r>
        <w:rPr>
          <w:rFonts w:eastAsia="楷体_GB2312"/>
          <w:b/>
          <w:bCs/>
          <w:szCs w:val="21"/>
        </w:rPr>
        <w:t>。</w:t>
      </w:r>
      <w:r>
        <w:rPr>
          <w:rFonts w:hint="eastAsia"/>
          <w:szCs w:val="21"/>
        </w:rPr>
        <w:t>完善县城</w:t>
      </w:r>
      <w:r>
        <w:rPr>
          <w:szCs w:val="21"/>
        </w:rPr>
        <w:t>“</w:t>
      </w:r>
      <w:r>
        <w:rPr>
          <w:rFonts w:hint="eastAsia"/>
          <w:szCs w:val="21"/>
        </w:rPr>
        <w:t>两横三纵</w:t>
      </w:r>
      <w:r>
        <w:rPr>
          <w:szCs w:val="21"/>
        </w:rPr>
        <w:t>”</w:t>
      </w:r>
      <w:r>
        <w:rPr>
          <w:rFonts w:hint="eastAsia"/>
          <w:szCs w:val="21"/>
        </w:rPr>
        <w:t>主干路网体系，</w:t>
      </w:r>
      <w:r>
        <w:rPr>
          <w:szCs w:val="21"/>
        </w:rPr>
        <w:t>其中两横为G318改线、老G318形成的东西向主干道，“三纵”指帕隆藏布大桥、扎木大桥、桑登桥形成的南北向联系通道</w:t>
      </w:r>
      <w:r>
        <w:rPr>
          <w:rFonts w:hint="eastAsia"/>
          <w:szCs w:val="21"/>
        </w:rPr>
        <w:t>，扩宽改造现有市政路网，缓解中心城区交通压力</w:t>
      </w:r>
      <w:r>
        <w:rPr>
          <w:szCs w:val="21"/>
        </w:rPr>
        <w:t>。</w:t>
      </w:r>
      <w:r>
        <w:rPr>
          <w:rFonts w:hint="eastAsia"/>
          <w:szCs w:val="21"/>
        </w:rPr>
        <w:t>实施县域次干线公路改建工程，加快推进</w:t>
      </w:r>
      <w:r>
        <w:rPr>
          <w:szCs w:val="21"/>
        </w:rPr>
        <w:t>S303岔口经易贡湖大桥至易贡乡贡德桥公路改扩建工程、扎木镇岗巴大桥至岗村公路改建工程</w:t>
      </w:r>
      <w:r>
        <w:rPr>
          <w:rFonts w:hint="eastAsia"/>
          <w:szCs w:val="21"/>
        </w:rPr>
        <w:t>、扎木镇G</w:t>
      </w:r>
      <w:r>
        <w:rPr>
          <w:szCs w:val="21"/>
        </w:rPr>
        <w:t>559</w:t>
      </w:r>
      <w:r>
        <w:rPr>
          <w:rFonts w:hint="eastAsia"/>
          <w:szCs w:val="21"/>
        </w:rPr>
        <w:t>线至嘎瓦龙天池公路改建工程等项目，推进县城至火车站快速路建设</w:t>
      </w:r>
      <w:r>
        <w:rPr>
          <w:szCs w:val="21"/>
        </w:rPr>
        <w:t>。</w:t>
      </w:r>
      <w:r>
        <w:rPr>
          <w:rFonts w:hint="eastAsia"/>
          <w:szCs w:val="21"/>
        </w:rPr>
        <w:t>加快景区路段提升改造，</w:t>
      </w:r>
      <w:r>
        <w:rPr>
          <w:szCs w:val="21"/>
        </w:rPr>
        <w:t>推进波密县波堆桃花谷（卡达桥至叶巴村段）</w:t>
      </w:r>
      <w:r>
        <w:rPr>
          <w:rFonts w:hint="eastAsia"/>
          <w:szCs w:val="21"/>
        </w:rPr>
        <w:t>旅游环线</w:t>
      </w:r>
      <w:r>
        <w:rPr>
          <w:szCs w:val="21"/>
        </w:rPr>
        <w:t>工程、波密县易贡乡至卡钦冰川沟公路改建工程、波密县倾多镇朱西村至朱西冰川公路新建工程</w:t>
      </w:r>
      <w:r>
        <w:rPr>
          <w:rFonts w:hint="eastAsia"/>
          <w:szCs w:val="21"/>
        </w:rPr>
        <w:t>等</w:t>
      </w:r>
      <w:r>
        <w:rPr>
          <w:szCs w:val="21"/>
        </w:rPr>
        <w:t>。</w:t>
      </w:r>
    </w:p>
    <w:p>
      <w:pPr>
        <w:rPr>
          <w:bCs/>
          <w:szCs w:val="32"/>
        </w:rPr>
      </w:pPr>
      <w:r>
        <w:rPr>
          <w:rFonts w:eastAsia="楷体_GB2312"/>
          <w:b/>
          <w:bCs/>
          <w:szCs w:val="21"/>
        </w:rPr>
        <w:t>积极推进乡村交通建设。</w:t>
      </w:r>
      <w:r>
        <w:rPr>
          <w:rFonts w:hint="eastAsia"/>
          <w:szCs w:val="21"/>
        </w:rPr>
        <w:t>推进乡村重点基础公路拓宽及改建，实施</w:t>
      </w:r>
      <w:r>
        <w:rPr>
          <w:szCs w:val="21"/>
        </w:rPr>
        <w:t>古乡小集镇过境公路新建工程、玉许乡帮肯村至普热村公路维修整治工程</w:t>
      </w:r>
      <w:r>
        <w:rPr>
          <w:rFonts w:hint="eastAsia"/>
          <w:szCs w:val="21"/>
        </w:rPr>
        <w:t>、倾多镇至玉许乡公路拓宽工程</w:t>
      </w:r>
      <w:r>
        <w:rPr>
          <w:szCs w:val="21"/>
        </w:rPr>
        <w:t>，加快</w:t>
      </w:r>
      <w:r>
        <w:rPr>
          <w:rFonts w:hint="eastAsia"/>
          <w:szCs w:val="21"/>
        </w:rPr>
        <w:t>推进</w:t>
      </w:r>
      <w:r>
        <w:rPr>
          <w:szCs w:val="21"/>
        </w:rPr>
        <w:t>牧区、养殖场等产业道路建设，夯实产业发展基础条件。</w:t>
      </w:r>
      <w:r>
        <w:rPr>
          <w:rFonts w:hint="eastAsia"/>
          <w:szCs w:val="21"/>
        </w:rPr>
        <w:t>消除农村道路安全隐患，</w:t>
      </w:r>
      <w:r>
        <w:rPr>
          <w:szCs w:val="21"/>
        </w:rPr>
        <w:t>推进危桥改造，</w:t>
      </w:r>
      <w:r>
        <w:rPr>
          <w:rFonts w:hint="eastAsia"/>
          <w:szCs w:val="21"/>
        </w:rPr>
        <w:t>加快实施</w:t>
      </w:r>
      <w:r>
        <w:rPr>
          <w:szCs w:val="21"/>
        </w:rPr>
        <w:t>泥石流路段维修整治工程，</w:t>
      </w:r>
      <w:r>
        <w:rPr>
          <w:szCs w:val="32"/>
        </w:rPr>
        <w:t>加强地质灾害易发区边坡防护与基础加固工程。</w:t>
      </w:r>
    </w:p>
    <w:tbl>
      <w:tblPr>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8296"/>
      </w:tblGrid>
      <w:tr>
        <w:tc>
          <w:tcPr>
            <w:tcW w:w="8296" w:type="dxa"/>
            <w:shd w:val="clear" w:color="auto" w:fill="C6D9F1"/>
          </w:tcPr>
          <w:p>
            <w:pPr>
              <w:spacing w:line="240" w:lineRule="auto"/>
              <w:ind w:firstLineChars="0" w:firstLine="0"/>
              <w:jc w:val="center"/>
              <w:rPr>
                <w:rFonts w:eastAsia="宋体"/>
                <w:b/>
                <w:bCs/>
                <w:kern w:val="0"/>
                <w:sz w:val="18"/>
                <w:szCs w:val="18"/>
              </w:rPr>
            </w:pPr>
            <w:r>
              <w:rPr>
                <w:rFonts w:ascii="方正楷体_GBK" w:eastAsia="方正楷体_GBK" w:hint="eastAsia"/>
                <w:sz w:val="18"/>
                <w:szCs w:val="18"/>
              </w:rPr>
              <w:t>专栏11  构建综合立体交通网络</w:t>
            </w:r>
          </w:p>
        </w:tc>
      </w:tr>
      <w:tr>
        <w:tc>
          <w:tcPr>
            <w:tcW w:w="8296" w:type="dxa"/>
            <w:shd w:val="clear" w:color="auto" w:fill="CCECFF"/>
          </w:tcPr>
          <w:p>
            <w:pPr>
              <w:spacing w:line="240" w:lineRule="auto"/>
              <w:rPr>
                <w:rFonts w:eastAsia="方正楷体_GBK"/>
                <w:sz w:val="18"/>
                <w:szCs w:val="18"/>
              </w:rPr>
            </w:pPr>
            <w:r>
              <w:rPr>
                <w:rFonts w:eastAsia="方正楷体_GBK"/>
                <w:sz w:val="18"/>
                <w:szCs w:val="18"/>
              </w:rPr>
              <w:t>01</w:t>
            </w:r>
            <w:r>
              <w:rPr>
                <w:rFonts w:eastAsia="方正楷体_GBK" w:hint="eastAsia"/>
                <w:sz w:val="18"/>
                <w:szCs w:val="18"/>
              </w:rPr>
              <w:t>加快推进机场铁路重大项目建设</w:t>
            </w:r>
          </w:p>
          <w:p>
            <w:pPr>
              <w:spacing w:line="240" w:lineRule="auto"/>
              <w:rPr>
                <w:rFonts w:eastAsia="方正楷体_GBK"/>
                <w:sz w:val="18"/>
                <w:szCs w:val="18"/>
              </w:rPr>
            </w:pPr>
            <w:r>
              <w:rPr>
                <w:rFonts w:eastAsia="方正仿宋_GBK" w:hint="eastAsia"/>
                <w:sz w:val="18"/>
                <w:szCs w:val="18"/>
              </w:rPr>
              <w:t>加快波密通用机场建设。建设波密至然乌支线铁路，谋划建设川藏铁路波密-墨脱的铁路延长线。</w:t>
            </w:r>
          </w:p>
        </w:tc>
      </w:tr>
      <w:tr>
        <w:tc>
          <w:tcPr>
            <w:tcW w:w="8296" w:type="dxa"/>
            <w:shd w:val="clear" w:color="auto" w:fill="CCECFF"/>
          </w:tcPr>
          <w:p>
            <w:pPr>
              <w:spacing w:line="240" w:lineRule="auto"/>
              <w:rPr>
                <w:rFonts w:eastAsia="方正楷体_GBK"/>
                <w:sz w:val="18"/>
                <w:szCs w:val="18"/>
              </w:rPr>
            </w:pPr>
            <w:r>
              <w:rPr>
                <w:rFonts w:eastAsia="方正楷体_GBK"/>
                <w:sz w:val="18"/>
                <w:szCs w:val="18"/>
              </w:rPr>
              <w:t>02</w:t>
            </w:r>
            <w:r>
              <w:rPr>
                <w:rFonts w:eastAsia="方正楷体_GBK" w:hint="eastAsia"/>
                <w:sz w:val="18"/>
                <w:szCs w:val="18"/>
              </w:rPr>
              <w:t>加强区域公路互通建设</w:t>
            </w:r>
          </w:p>
          <w:p>
            <w:pPr>
              <w:spacing w:line="240" w:lineRule="auto"/>
              <w:rPr>
                <w:rFonts w:eastAsia="方正仿宋_GBK"/>
                <w:sz w:val="18"/>
                <w:szCs w:val="18"/>
              </w:rPr>
            </w:pPr>
            <w:r>
              <w:rPr>
                <w:rFonts w:eastAsia="方正仿宋_GBK" w:hint="eastAsia"/>
                <w:sz w:val="18"/>
                <w:szCs w:val="18"/>
              </w:rPr>
              <w:t>加快G318公路提质升级，推进G4218巴宜区至波密段高速公路，实施S525倾多镇大桥至边坝县公路改建工程、G559提质改造项目、松宗栋曲至墨脱格当公路等。</w:t>
            </w:r>
          </w:p>
        </w:tc>
      </w:tr>
      <w:tr>
        <w:tc>
          <w:tcPr>
            <w:tcW w:w="8296" w:type="dxa"/>
            <w:shd w:val="clear" w:color="auto" w:fill="CCECFF"/>
          </w:tcPr>
          <w:p>
            <w:pPr>
              <w:spacing w:line="240" w:lineRule="auto"/>
              <w:rPr>
                <w:rFonts w:eastAsia="方正楷体_GBK"/>
                <w:sz w:val="18"/>
                <w:szCs w:val="18"/>
              </w:rPr>
            </w:pPr>
            <w:r>
              <w:rPr>
                <w:rFonts w:eastAsia="方正楷体_GBK"/>
                <w:sz w:val="18"/>
                <w:szCs w:val="18"/>
              </w:rPr>
              <w:t>03</w:t>
            </w:r>
            <w:r>
              <w:rPr>
                <w:rFonts w:eastAsia="方正楷体_GBK" w:hint="eastAsia"/>
                <w:sz w:val="18"/>
                <w:szCs w:val="18"/>
              </w:rPr>
              <w:t>加密提质县域骨干路网</w:t>
            </w:r>
          </w:p>
          <w:p>
            <w:pPr>
              <w:spacing w:line="240" w:lineRule="auto"/>
              <w:rPr>
                <w:rFonts w:eastAsia="方正仿宋_GBK"/>
                <w:sz w:val="18"/>
                <w:szCs w:val="18"/>
              </w:rPr>
            </w:pPr>
            <w:r>
              <w:rPr>
                <w:rFonts w:eastAsia="方正仿宋_GBK" w:hint="eastAsia"/>
                <w:sz w:val="18"/>
                <w:szCs w:val="18"/>
              </w:rPr>
              <w:t>加快推进波密县扎木镇岗巴大桥至岗村公路工程，波密县S303岔口经易贡湖大桥至易贡乡贡德桥公路改扩建工程，波密县扎木镇G559线（K</w:t>
            </w:r>
            <w:r>
              <w:rPr>
                <w:rFonts w:eastAsia="方正仿宋_GBK"/>
                <w:sz w:val="18"/>
                <w:szCs w:val="18"/>
              </w:rPr>
              <w:t>24</w:t>
            </w:r>
            <w:r>
              <w:rPr>
                <w:rFonts w:eastAsia="方正仿宋_GBK" w:hint="eastAsia"/>
                <w:sz w:val="18"/>
                <w:szCs w:val="18"/>
              </w:rPr>
              <w:t>+</w:t>
            </w:r>
            <w:r>
              <w:rPr>
                <w:rFonts w:eastAsia="方正仿宋_GBK"/>
                <w:sz w:val="18"/>
                <w:szCs w:val="18"/>
              </w:rPr>
              <w:t>000</w:t>
            </w:r>
            <w:r>
              <w:rPr>
                <w:rFonts w:eastAsia="方正仿宋_GBK" w:hint="eastAsia"/>
                <w:sz w:val="18"/>
                <w:szCs w:val="18"/>
              </w:rPr>
              <w:t>）至嘎瓦龙天池公路改建工程、波密县波堆桃花谷（卡达桥至叶巴村段）旅游环线工程、波密县易贡乡至卡钦冰川沟公路改建工程、波密县倾多镇朱西村至朱西冰川公路新建工程等。</w:t>
            </w:r>
          </w:p>
        </w:tc>
      </w:tr>
      <w:tr>
        <w:tc>
          <w:tcPr>
            <w:tcW w:w="8296" w:type="dxa"/>
            <w:shd w:val="clear" w:color="auto" w:fill="CCECFF"/>
          </w:tcPr>
          <w:p>
            <w:pPr>
              <w:spacing w:line="240" w:lineRule="auto"/>
              <w:rPr>
                <w:rFonts w:eastAsia="方正楷体_GBK"/>
                <w:sz w:val="18"/>
                <w:szCs w:val="18"/>
              </w:rPr>
            </w:pPr>
            <w:r>
              <w:rPr>
                <w:rFonts w:eastAsia="方正楷体_GBK"/>
                <w:sz w:val="18"/>
                <w:szCs w:val="18"/>
              </w:rPr>
              <w:t>04</w:t>
            </w:r>
            <w:r>
              <w:rPr>
                <w:rFonts w:eastAsia="方正楷体_GBK" w:hint="eastAsia"/>
                <w:sz w:val="18"/>
                <w:szCs w:val="18"/>
              </w:rPr>
              <w:t>积极推进乡村交通建设</w:t>
            </w:r>
          </w:p>
          <w:p>
            <w:pPr>
              <w:spacing w:line="240" w:lineRule="auto"/>
              <w:rPr>
                <w:rFonts w:eastAsia="宋体"/>
                <w:kern w:val="0"/>
                <w:sz w:val="18"/>
                <w:szCs w:val="18"/>
              </w:rPr>
            </w:pPr>
            <w:r>
              <w:rPr>
                <w:rFonts w:eastAsia="方正仿宋_GBK" w:hint="eastAsia"/>
                <w:sz w:val="18"/>
                <w:szCs w:val="18"/>
              </w:rPr>
              <w:t>加快推进波密县古乡小集镇过境公路新建工程，波密县玉许乡帮肯村至普热村公路维修整治工程，波密县倾多镇古通村泥石流路段维修整治工程，波密县松宗镇德巴村德巴桥、玉普乡格巴村格巴桥、倾多镇热西村东达桥、康玉乡德热桥、玉许乡波堆桥、多吉乡木古村木古桥、康玉乡乌那村卡堆1桥、等危桥改造工程，新建八盖乡雄吉村至朗玉村桥梁，实施扎木镇多东寺寺庙道路改建工程等。</w:t>
            </w:r>
          </w:p>
        </w:tc>
      </w:tr>
    </w:tbl>
    <w:p>
      <w:pPr>
        <w:pStyle w:val="2"/>
        <w:spacing w:after="190" w:line="576" w:lineRule="exact"/>
      </w:pPr>
      <w:bookmarkStart w:id="298" w:name="_Toc218406251"/>
      <w:bookmarkStart w:id="299" w:name="_Toc223858433"/>
      <w:r>
        <w:t>第二节 加强水利基础设施建设</w:t>
      </w:r>
      <w:bookmarkEnd w:id="298"/>
      <w:bookmarkEnd w:id="299"/>
    </w:p>
    <w:p>
      <w:pPr>
        <w:rPr>
          <w:bCs/>
          <w:szCs w:val="32"/>
        </w:rPr>
      </w:pPr>
      <w:r>
        <w:rPr>
          <w:rFonts w:eastAsia="楷体_GB2312" w:hint="eastAsia"/>
          <w:b/>
          <w:szCs w:val="32"/>
        </w:rPr>
        <w:t>提升城乡水安全保障体系</w:t>
      </w:r>
      <w:r>
        <w:rPr>
          <w:rFonts w:eastAsia="楷体_GB2312"/>
          <w:b/>
          <w:szCs w:val="32"/>
        </w:rPr>
        <w:t>。</w:t>
      </w:r>
      <w:r>
        <w:rPr>
          <w:rFonts w:hint="eastAsia"/>
          <w:b/>
          <w:bCs/>
          <w:szCs w:val="32"/>
        </w:rPr>
        <w:t>完善城乡供水设施。</w:t>
      </w:r>
      <w:r>
        <w:rPr>
          <w:rFonts w:hint="eastAsia"/>
          <w:szCs w:val="32"/>
        </w:rPr>
        <w:t>加快推动城乡供水一体化，建设波密县备用水源地，推动主要乡镇集中规模化供水工程建设，推进波密县卓龙沟引水工程、</w:t>
      </w:r>
      <w:r>
        <w:rPr>
          <w:szCs w:val="32"/>
        </w:rPr>
        <w:t>通麦小集镇自来水厂工程</w:t>
      </w:r>
      <w:r>
        <w:rPr>
          <w:rFonts w:hint="eastAsia"/>
          <w:szCs w:val="32"/>
        </w:rPr>
        <w:t>，开展波密县小型供水规模化建设</w:t>
      </w:r>
      <w:r>
        <w:rPr>
          <w:szCs w:val="32"/>
        </w:rPr>
        <w:t>，构建“系统完备、功能协同、集约高效、安全可靠”的水安全保障能力体系。</w:t>
      </w:r>
      <w:r>
        <w:rPr>
          <w:rFonts w:hint="eastAsia"/>
          <w:b/>
          <w:szCs w:val="32"/>
        </w:rPr>
        <w:t>加强</w:t>
      </w:r>
      <w:r>
        <w:rPr>
          <w:b/>
          <w:szCs w:val="32"/>
        </w:rPr>
        <w:t>饮用水水源地保护</w:t>
      </w:r>
      <w:r>
        <w:rPr>
          <w:rFonts w:hint="eastAsia"/>
          <w:bCs/>
          <w:szCs w:val="32"/>
        </w:rPr>
        <w:t>。推进农村集中式饮用水水源地规范化建设，规范设置界碑界桩界标、宣传牌、隔离措施，建设水源应急防控工程。</w:t>
      </w:r>
      <w:r>
        <w:rPr>
          <w:szCs w:val="32"/>
        </w:rPr>
        <w:t>完善水质监测体系，建设水质监测和保障措施，</w:t>
      </w:r>
      <w:r>
        <w:rPr>
          <w:rFonts w:hint="eastAsia"/>
          <w:szCs w:val="32"/>
        </w:rPr>
        <w:t>推进乡镇级饮用水水源地检测和提升工程，</w:t>
      </w:r>
      <w:r>
        <w:rPr>
          <w:szCs w:val="32"/>
        </w:rPr>
        <w:t>建设农村引水安全工程净化消毒设施，保障居民生产生活用水需求和饮水安全。</w:t>
      </w:r>
    </w:p>
    <w:p>
      <w:pPr>
        <w:rPr>
          <w:rFonts w:eastAsia="楷体_GB2312"/>
          <w:b/>
          <w:szCs w:val="32"/>
        </w:rPr>
      </w:pPr>
      <w:r>
        <w:rPr>
          <w:rFonts w:eastAsia="楷体_GB2312" w:hint="eastAsia"/>
          <w:b/>
          <w:szCs w:val="32"/>
        </w:rPr>
        <w:t>加强</w:t>
      </w:r>
      <w:r>
        <w:rPr>
          <w:rFonts w:eastAsia="楷体_GB2312"/>
          <w:b/>
          <w:szCs w:val="32"/>
        </w:rPr>
        <w:t>流域综合治理。</w:t>
      </w:r>
      <w:r>
        <w:rPr>
          <w:rFonts w:hint="eastAsia"/>
          <w:bCs/>
          <w:szCs w:val="32"/>
        </w:rPr>
        <w:t>全面深化河湖长制，</w:t>
      </w:r>
      <w:r>
        <w:rPr>
          <w:bCs/>
          <w:szCs w:val="32"/>
        </w:rPr>
        <w:t>全方位提升波密水利安全与生态环境质量，推进流域综合治理工程</w:t>
      </w:r>
      <w:r>
        <w:rPr>
          <w:rFonts w:hint="eastAsia"/>
          <w:bCs/>
          <w:szCs w:val="32"/>
        </w:rPr>
        <w:t>，建设“幸福河湖”</w:t>
      </w:r>
      <w:r>
        <w:rPr>
          <w:bCs/>
          <w:szCs w:val="32"/>
        </w:rPr>
        <w:t>。</w:t>
      </w:r>
      <w:r>
        <w:rPr>
          <w:rFonts w:hint="eastAsia"/>
          <w:b/>
          <w:szCs w:val="32"/>
        </w:rPr>
        <w:t>加强防洪减灾工程建设。</w:t>
      </w:r>
      <w:r>
        <w:rPr>
          <w:rFonts w:hint="eastAsia"/>
          <w:szCs w:val="32"/>
        </w:rPr>
        <w:t>持续推进拦河坝与防洪堤建设，及时开展河道清淤，新建水文监测设施，确保汛期时有效行洪，健全城乡防洪体系。推进山洪灾害防治，完善非工程措施与工程措施相结合的山洪灾害综合防御体系。</w:t>
      </w:r>
      <w:r>
        <w:rPr>
          <w:rFonts w:hint="eastAsia"/>
          <w:b/>
          <w:bCs/>
          <w:szCs w:val="32"/>
        </w:rPr>
        <w:t>实施生态修复与水土流失综合治理工程。</w:t>
      </w:r>
      <w:r>
        <w:rPr>
          <w:rFonts w:hint="eastAsia"/>
          <w:szCs w:val="32"/>
        </w:rPr>
        <w:t>推动生态清洁小流域治理，实施帕隆藏布干流及曲宗藏布等支流生态综合治理工程，加强水源涵养功能。布局建设水质监测站，推进帕隆藏布流域水质自动监测站建设项目。大力推进易贡湖、古乡湖生态修复与综合治理工程。加快推进河流生态源头区和山洪、泥石流易发区的水土流失防治及综合整治，采取保护管理、封禁修复、局部治理等措施。重点开展主要河谷流域防沙治沙工程，建立林灌草相结合的防风固沙生态防护体系。</w:t>
      </w:r>
    </w:p>
    <w:p>
      <w:pPr>
        <w:rPr>
          <w:szCs w:val="32"/>
        </w:rPr>
      </w:pPr>
      <w:r>
        <w:rPr>
          <w:rFonts w:eastAsia="楷体_GB2312" w:hint="eastAsia"/>
          <w:b/>
          <w:szCs w:val="32"/>
        </w:rPr>
        <w:t>推进灌溉基础设施</w:t>
      </w:r>
      <w:r>
        <w:rPr>
          <w:rFonts w:eastAsia="楷体_GB2312"/>
          <w:b/>
          <w:szCs w:val="32"/>
        </w:rPr>
        <w:t>提质</w:t>
      </w:r>
      <w:r>
        <w:rPr>
          <w:rFonts w:eastAsia="楷体_GB2312" w:hint="eastAsia"/>
          <w:b/>
          <w:szCs w:val="32"/>
        </w:rPr>
        <w:t>升级</w:t>
      </w:r>
      <w:r>
        <w:rPr>
          <w:rFonts w:eastAsia="楷体_GB2312"/>
          <w:b/>
          <w:szCs w:val="32"/>
        </w:rPr>
        <w:t>。</w:t>
      </w:r>
      <w:r>
        <w:rPr>
          <w:szCs w:val="32"/>
        </w:rPr>
        <w:t>积极响应农业现代化发展需求，</w:t>
      </w:r>
      <w:r>
        <w:rPr>
          <w:rFonts w:hint="eastAsia"/>
          <w:szCs w:val="32"/>
        </w:rPr>
        <w:t>开展</w:t>
      </w:r>
      <w:r>
        <w:rPr>
          <w:szCs w:val="32"/>
        </w:rPr>
        <w:t>农田水利提质工程。全面推进灌区续建配套与节水改造工程，对老化、破损的灌溉渠道进行修复与升级，重点实施易贡乡、八盖乡、玉普乡、多吉乡等农田水渠建设项目。借助高标准农田建设契机，打造高效节水灌区，引入滴灌、喷灌等</w:t>
      </w:r>
      <w:r>
        <w:rPr>
          <w:rFonts w:hint="eastAsia"/>
          <w:szCs w:val="32"/>
        </w:rPr>
        <w:t>高效</w:t>
      </w:r>
      <w:r>
        <w:rPr>
          <w:szCs w:val="32"/>
        </w:rPr>
        <w:t>节水灌溉技术，提升灌溉设施品质，提高水资源利用效率，助力农业增产增收，推动农业可持续发展。</w:t>
      </w:r>
    </w:p>
    <w:tbl>
      <w:tblPr>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8296"/>
      </w:tblGrid>
      <w:tr>
        <w:tc>
          <w:tcPr>
            <w:tcW w:w="8296" w:type="dxa"/>
            <w:shd w:val="clear" w:color="auto" w:fill="C6D9F1"/>
          </w:tcPr>
          <w:p>
            <w:pPr>
              <w:spacing w:line="240" w:lineRule="auto"/>
              <w:ind w:firstLineChars="0" w:firstLine="0"/>
              <w:jc w:val="center"/>
              <w:rPr>
                <w:rFonts w:ascii="方正楷体_GBK" w:eastAsia="方正楷体_GBK"/>
                <w:sz w:val="18"/>
                <w:szCs w:val="18"/>
              </w:rPr>
            </w:pPr>
            <w:r>
              <w:rPr>
                <w:rFonts w:ascii="方正楷体_GBK" w:eastAsia="方正楷体_GBK" w:hint="eastAsia"/>
                <w:sz w:val="18"/>
                <w:szCs w:val="18"/>
              </w:rPr>
              <w:t>专栏12  加强水利基础设施建设</w:t>
            </w:r>
          </w:p>
        </w:tc>
      </w:tr>
      <w:tr>
        <w:tc>
          <w:tcPr>
            <w:tcW w:w="8296" w:type="dxa"/>
            <w:shd w:val="clear" w:color="auto" w:fill="CCECFF"/>
          </w:tcPr>
          <w:p>
            <w:pPr>
              <w:spacing w:line="240" w:lineRule="auto"/>
              <w:rPr>
                <w:rFonts w:eastAsia="方正楷体_GBK"/>
                <w:sz w:val="18"/>
                <w:szCs w:val="18"/>
              </w:rPr>
            </w:pPr>
            <w:r>
              <w:rPr>
                <w:rFonts w:eastAsia="方正楷体_GBK"/>
                <w:sz w:val="18"/>
                <w:szCs w:val="18"/>
              </w:rPr>
              <w:t>01</w:t>
            </w:r>
            <w:r>
              <w:rPr>
                <w:rFonts w:eastAsia="方正楷体_GBK" w:hint="eastAsia"/>
                <w:sz w:val="18"/>
                <w:szCs w:val="18"/>
              </w:rPr>
              <w:t>提升城乡水安全保障体系</w:t>
            </w:r>
          </w:p>
          <w:p>
            <w:pPr>
              <w:spacing w:line="240" w:lineRule="auto"/>
              <w:rPr>
                <w:rFonts w:eastAsia="方正仿宋_GBK"/>
                <w:sz w:val="18"/>
                <w:szCs w:val="18"/>
              </w:rPr>
            </w:pPr>
            <w:bookmarkStart w:id="300" w:name="OLE_LINK9"/>
            <w:r>
              <w:rPr>
                <w:rFonts w:eastAsia="方正仿宋_GBK" w:hint="eastAsia"/>
                <w:sz w:val="18"/>
                <w:szCs w:val="18"/>
              </w:rPr>
              <w:t>开展城乡供水一体化工程，建设</w:t>
            </w:r>
            <w:bookmarkEnd w:id="300"/>
            <w:r>
              <w:rPr>
                <w:rFonts w:eastAsia="方正仿宋_GBK" w:hint="eastAsia"/>
                <w:sz w:val="18"/>
                <w:szCs w:val="18"/>
              </w:rPr>
              <w:t>波密县备用水源地，实施林芝市波密县卓龙沟引水工程、波密县倾多镇、易贡乡、玉许乡、玉普乡、康玉乡、多吉乡、八盖乡集中供水工程、波密县农村饮水安全工程净化消毒设施配备项目、波密县易贡乡通麦小集镇自来水厂建设项目，推进波密县小型供水规模化建设工程、波密县集中式饮用水水源地规范化建设项目等。</w:t>
            </w:r>
          </w:p>
        </w:tc>
      </w:tr>
      <w:tr>
        <w:tc>
          <w:tcPr>
            <w:tcW w:w="8296" w:type="dxa"/>
            <w:shd w:val="clear" w:color="auto" w:fill="CCECFF"/>
          </w:tcPr>
          <w:p>
            <w:pPr>
              <w:spacing w:line="240" w:lineRule="auto"/>
              <w:rPr>
                <w:rFonts w:eastAsia="方正仿宋_GBK"/>
                <w:sz w:val="18"/>
                <w:szCs w:val="18"/>
              </w:rPr>
            </w:pPr>
            <w:r>
              <w:rPr>
                <w:rFonts w:eastAsia="方正楷体_GBK"/>
                <w:sz w:val="18"/>
                <w:szCs w:val="18"/>
              </w:rPr>
              <w:t>02</w:t>
            </w:r>
            <w:r>
              <w:rPr>
                <w:rFonts w:eastAsia="方正楷体_GBK" w:hint="eastAsia"/>
                <w:sz w:val="18"/>
                <w:szCs w:val="18"/>
              </w:rPr>
              <w:t>加强流域综合治理</w:t>
            </w:r>
          </w:p>
          <w:p>
            <w:pPr>
              <w:spacing w:line="240" w:lineRule="auto"/>
              <w:rPr>
                <w:rFonts w:eastAsia="方正仿宋_GBK"/>
                <w:sz w:val="18"/>
                <w:szCs w:val="18"/>
              </w:rPr>
            </w:pPr>
            <w:bookmarkStart w:id="301" w:name="OLE_LINK103"/>
            <w:r>
              <w:rPr>
                <w:rFonts w:eastAsia="方正仿宋_GBK" w:hint="eastAsia"/>
                <w:sz w:val="18"/>
                <w:szCs w:val="18"/>
              </w:rPr>
              <w:t>实施</w:t>
            </w:r>
            <w:bookmarkStart w:id="302" w:name="OLE_LINK127"/>
            <w:r>
              <w:rPr>
                <w:rFonts w:eastAsia="方正仿宋_GBK" w:hint="eastAsia"/>
                <w:sz w:val="18"/>
                <w:szCs w:val="18"/>
              </w:rPr>
              <w:t>帕隆藏布、</w:t>
            </w:r>
            <w:bookmarkEnd w:id="302"/>
            <w:r>
              <w:rPr>
                <w:rFonts w:eastAsia="方正仿宋_GBK" w:hint="eastAsia"/>
                <w:sz w:val="18"/>
                <w:szCs w:val="18"/>
              </w:rPr>
              <w:t>易贡藏布、波堆藏布幸福河湖建设工程，推进易贡湖生态修复与综合治理工程、古乡湖水生态修复与综合治理工程，</w:t>
            </w:r>
            <w:bookmarkStart w:id="303" w:name="OLE_LINK113"/>
            <w:r>
              <w:rPr>
                <w:rFonts w:eastAsia="方正仿宋_GBK" w:hint="eastAsia"/>
                <w:sz w:val="18"/>
                <w:szCs w:val="18"/>
              </w:rPr>
              <w:t>帕隆藏布、易贡藏布重点河段治理工程、</w:t>
            </w:r>
            <w:bookmarkStart w:id="304" w:name="OLE_LINK114"/>
            <w:bookmarkStart w:id="305" w:name="OLE_LINK116"/>
            <w:r>
              <w:rPr>
                <w:rFonts w:eastAsia="方正仿宋_GBK" w:hint="eastAsia"/>
                <w:sz w:val="18"/>
                <w:szCs w:val="18"/>
              </w:rPr>
              <w:t>德曲乌那、通堆、宗热段河道治理工程</w:t>
            </w:r>
            <w:bookmarkEnd w:id="305"/>
            <w:r>
              <w:rPr>
                <w:rFonts w:eastAsia="方正仿宋_GBK" w:hint="eastAsia"/>
                <w:sz w:val="18"/>
                <w:szCs w:val="18"/>
              </w:rPr>
              <w:t>，</w:t>
            </w:r>
            <w:bookmarkEnd w:id="303"/>
            <w:bookmarkEnd w:id="304"/>
            <w:r>
              <w:rPr>
                <w:rFonts w:eastAsia="方正仿宋_GBK" w:hint="eastAsia"/>
                <w:sz w:val="18"/>
                <w:szCs w:val="18"/>
              </w:rPr>
              <w:t>推动</w:t>
            </w:r>
            <w:bookmarkStart w:id="306" w:name="OLE_LINK109"/>
            <w:r>
              <w:rPr>
                <w:rFonts w:eastAsia="方正仿宋_GBK" w:hint="eastAsia"/>
                <w:sz w:val="18"/>
                <w:szCs w:val="18"/>
              </w:rPr>
              <w:t>玉许乡则普村防洪堤工程、</w:t>
            </w:r>
            <w:bookmarkStart w:id="307" w:name="OLE_LINK110"/>
            <w:r>
              <w:rPr>
                <w:rFonts w:eastAsia="方正仿宋_GBK" w:hint="eastAsia"/>
                <w:sz w:val="18"/>
                <w:szCs w:val="18"/>
              </w:rPr>
              <w:t>倾多镇栋曲村卓布沟下游堤防工程</w:t>
            </w:r>
            <w:bookmarkStart w:id="308" w:name="OLE_LINK111"/>
            <w:r>
              <w:rPr>
                <w:rFonts w:eastAsia="方正仿宋_GBK" w:hint="eastAsia"/>
                <w:sz w:val="18"/>
                <w:szCs w:val="18"/>
              </w:rPr>
              <w:t>、波堆藏布玉许、倾多段防洪工程，实施</w:t>
            </w:r>
            <w:bookmarkStart w:id="309" w:name="OLE_LINK117"/>
            <w:r>
              <w:rPr>
                <w:rFonts w:eastAsia="方正仿宋_GBK" w:hint="eastAsia"/>
                <w:sz w:val="18"/>
                <w:szCs w:val="18"/>
              </w:rPr>
              <w:t>扎木镇扎木村山洪沟治理工程、</w:t>
            </w:r>
            <w:bookmarkStart w:id="310" w:name="OLE_LINK118"/>
            <w:r>
              <w:rPr>
                <w:rFonts w:eastAsia="方正仿宋_GBK" w:hint="eastAsia"/>
                <w:sz w:val="18"/>
                <w:szCs w:val="18"/>
              </w:rPr>
              <w:t>松宗镇朗秋弄巴山洪治理工程、</w:t>
            </w:r>
            <w:bookmarkStart w:id="311" w:name="OLE_LINK124"/>
            <w:r>
              <w:rPr>
                <w:rFonts w:eastAsia="方正仿宋_GBK" w:hint="eastAsia"/>
                <w:sz w:val="18"/>
                <w:szCs w:val="18"/>
              </w:rPr>
              <w:t>八盖乡不丹弄巴曲山洪沟治理工程、</w:t>
            </w:r>
            <w:bookmarkStart w:id="312" w:name="OLE_LINK125"/>
            <w:r>
              <w:rPr>
                <w:rFonts w:eastAsia="方正仿宋_GBK" w:hint="eastAsia"/>
                <w:sz w:val="18"/>
                <w:szCs w:val="18"/>
              </w:rPr>
              <w:t>多吉乡毛江村水土流失综合治理工程等，建设帕隆藏布流域水质自动监测站。</w:t>
            </w:r>
            <w:bookmarkEnd w:id="301"/>
            <w:bookmarkEnd w:id="306"/>
            <w:bookmarkEnd w:id="307"/>
            <w:bookmarkEnd w:id="308"/>
            <w:bookmarkEnd w:id="309"/>
            <w:bookmarkEnd w:id="310"/>
            <w:bookmarkEnd w:id="311"/>
            <w:bookmarkEnd w:id="312"/>
          </w:p>
        </w:tc>
      </w:tr>
      <w:tr>
        <w:tc>
          <w:tcPr>
            <w:tcW w:w="8296" w:type="dxa"/>
            <w:shd w:val="clear" w:color="auto" w:fill="CCECFF"/>
          </w:tcPr>
          <w:p>
            <w:pPr>
              <w:spacing w:line="240" w:lineRule="auto"/>
              <w:rPr>
                <w:rFonts w:eastAsia="方正楷体_GBK"/>
                <w:sz w:val="18"/>
                <w:szCs w:val="18"/>
              </w:rPr>
            </w:pPr>
            <w:bookmarkStart w:id="313" w:name="_Toc218406252"/>
            <w:r>
              <w:rPr>
                <w:rFonts w:eastAsia="方正楷体_GBK"/>
                <w:sz w:val="18"/>
                <w:szCs w:val="18"/>
              </w:rPr>
              <w:t>03</w:t>
            </w:r>
            <w:r>
              <w:rPr>
                <w:rFonts w:eastAsia="方正楷体_GBK" w:hint="eastAsia"/>
                <w:sz w:val="18"/>
                <w:szCs w:val="18"/>
              </w:rPr>
              <w:t>推进灌溉基础设施提质升级</w:t>
            </w:r>
          </w:p>
          <w:p>
            <w:pPr>
              <w:spacing w:line="240" w:lineRule="auto"/>
              <w:rPr>
                <w:rFonts w:eastAsia="方正仿宋_GBK"/>
                <w:sz w:val="18"/>
                <w:szCs w:val="18"/>
              </w:rPr>
            </w:pPr>
            <w:r>
              <w:rPr>
                <w:rFonts w:eastAsia="方正仿宋_GBK" w:hint="eastAsia"/>
                <w:sz w:val="18"/>
                <w:szCs w:val="18"/>
              </w:rPr>
              <w:t>实施波密县易贡乡贡仲村农田水渠建设项目，波密县八盖乡巴瑞村水渠项目，波密县玉普乡农田灌溉水渠建设项目等。</w:t>
            </w:r>
          </w:p>
        </w:tc>
      </w:tr>
    </w:tbl>
    <w:p>
      <w:pPr>
        <w:pStyle w:val="2"/>
        <w:spacing w:after="190" w:line="576" w:lineRule="exact"/>
      </w:pPr>
      <w:bookmarkStart w:id="314" w:name="_Toc223858434"/>
      <w:r>
        <w:t>第三节 统筹公</w:t>
      </w:r>
      <w:r>
        <w:rPr>
          <w:rFonts w:hint="eastAsia"/>
        </w:rPr>
        <w:t>共</w:t>
      </w:r>
      <w:r>
        <w:t>基础设施建设</w:t>
      </w:r>
      <w:bookmarkEnd w:id="313"/>
      <w:bookmarkEnd w:id="314"/>
    </w:p>
    <w:p>
      <w:pPr>
        <w:rPr>
          <w:szCs w:val="36"/>
        </w:rPr>
      </w:pPr>
      <w:r>
        <w:rPr>
          <w:rFonts w:eastAsia="楷体_GB2312"/>
          <w:b/>
          <w:szCs w:val="32"/>
        </w:rPr>
        <w:t>实施县域基建提质工程。</w:t>
      </w:r>
      <w:r>
        <w:rPr>
          <w:rFonts w:hint="eastAsia"/>
          <w:b/>
          <w:szCs w:val="32"/>
        </w:rPr>
        <w:t>加强城乡污水收集与处理。</w:t>
      </w:r>
      <w:r>
        <w:rPr>
          <w:rFonts w:hint="eastAsia"/>
          <w:bCs/>
          <w:szCs w:val="32"/>
        </w:rPr>
        <w:t>推进波密县污水处理厂提标扩容，新建古乡、多吉乡、易贡乡、康玉乡等乡镇污水处理及收集系统工程，波密县第二小学及周边片区排污管网及配套设施项目，实施松宗镇小集镇污水管网更新改造，新建火车东站片区地下管线及综合管廊，积极引入第三方提升已建污水处理厂运营水平。</w:t>
      </w:r>
      <w:r>
        <w:rPr>
          <w:rFonts w:hint="eastAsia"/>
          <w:b/>
          <w:szCs w:val="32"/>
        </w:rPr>
        <w:t>加快电网规划建设再提升。</w:t>
      </w:r>
      <w:r>
        <w:rPr>
          <w:rFonts w:hint="eastAsia"/>
          <w:bCs/>
          <w:szCs w:val="32"/>
        </w:rPr>
        <w:t>结合县域电网痛点难点，</w:t>
      </w:r>
      <w:r>
        <w:rPr>
          <w:rFonts w:hint="eastAsia"/>
          <w:szCs w:val="32"/>
        </w:rPr>
        <w:t>锚定“网架坚强，供电可靠”目标，强化主网结构，加快县域电网升级改造，实施老旧设备改造等项目，</w:t>
      </w:r>
      <w:bookmarkStart w:id="315" w:name="OLE_LINK12"/>
      <w:r>
        <w:rPr>
          <w:rFonts w:hint="eastAsia"/>
          <w:szCs w:val="32"/>
        </w:rPr>
        <w:t>规范电网线路架设，开展线缆整治</w:t>
      </w:r>
      <w:bookmarkEnd w:id="315"/>
      <w:r>
        <w:rPr>
          <w:rFonts w:hint="eastAsia"/>
          <w:szCs w:val="32"/>
        </w:rPr>
        <w:t>，聚焦康玉、古乡、玉许、玉普、多吉</w:t>
      </w:r>
      <w:r>
        <w:rPr>
          <w:szCs w:val="32"/>
        </w:rPr>
        <w:t>5</w:t>
      </w:r>
      <w:r>
        <w:rPr>
          <w:rFonts w:hint="eastAsia"/>
          <w:szCs w:val="32"/>
        </w:rPr>
        <w:t>个乡镇中低</w:t>
      </w:r>
      <w:bookmarkStart w:id="316" w:name="OLE_LINK5"/>
      <w:r>
        <w:rPr>
          <w:rFonts w:hint="eastAsia"/>
          <w:szCs w:val="32"/>
        </w:rPr>
        <w:t>压</w:t>
      </w:r>
      <w:bookmarkEnd w:id="316"/>
      <w:r>
        <w:rPr>
          <w:rFonts w:hint="eastAsia"/>
          <w:szCs w:val="32"/>
        </w:rPr>
        <w:t>配网改造，重点推进</w:t>
      </w:r>
      <w:r>
        <w:rPr>
          <w:szCs w:val="32"/>
        </w:rPr>
        <w:t>110kV</w:t>
      </w:r>
      <w:r>
        <w:rPr>
          <w:rFonts w:hint="eastAsia"/>
          <w:szCs w:val="32"/>
        </w:rPr>
        <w:t>卓龙输变电项目</w:t>
      </w:r>
      <w:r>
        <w:rPr>
          <w:szCs w:val="32"/>
        </w:rPr>
        <w:t>10</w:t>
      </w:r>
      <w:r>
        <w:rPr>
          <w:rFonts w:hint="eastAsia"/>
          <w:szCs w:val="32"/>
        </w:rPr>
        <w:t>千伏配套送出项目建设投运。实施林芝—墨脱—波密</w:t>
      </w:r>
      <w:r>
        <w:rPr>
          <w:szCs w:val="32"/>
        </w:rPr>
        <w:t>500</w:t>
      </w:r>
      <w:r>
        <w:rPr>
          <w:rFonts w:hint="eastAsia"/>
          <w:szCs w:val="32"/>
        </w:rPr>
        <w:t>千伏输变电工程，建设铁路波密至然乌段供电工程。</w:t>
      </w:r>
      <w:r>
        <w:rPr>
          <w:rFonts w:hint="eastAsia"/>
          <w:b/>
          <w:bCs/>
          <w:szCs w:val="32"/>
        </w:rPr>
        <w:t>完善市政道路及附属设施建设。</w:t>
      </w:r>
      <w:r>
        <w:rPr>
          <w:rFonts w:hint="eastAsia"/>
          <w:szCs w:val="32"/>
        </w:rPr>
        <w:t>改造已有不合规道路及相关设施，在学校等交通拥挤路段设立人行天桥，增加县城停车位。完善县城道路规划，重点推进市政道路滨江南路建设项目、</w:t>
      </w:r>
      <w:r>
        <w:rPr>
          <w:szCs w:val="32"/>
        </w:rPr>
        <w:t>G318</w:t>
      </w:r>
      <w:r>
        <w:rPr>
          <w:rFonts w:hint="eastAsia"/>
          <w:szCs w:val="32"/>
        </w:rPr>
        <w:t>连线工程、玉普乡小集镇道路改造提升项目。</w:t>
      </w:r>
      <w:r>
        <w:rPr>
          <w:rFonts w:hint="eastAsia"/>
          <w:b/>
          <w:bCs/>
          <w:szCs w:val="32"/>
        </w:rPr>
        <w:t>实施消防基础设施建设。</w:t>
      </w:r>
      <w:r>
        <w:rPr>
          <w:rFonts w:hint="eastAsia"/>
          <w:szCs w:val="32"/>
        </w:rPr>
        <w:t>明确市政消火栓布局及用水量，在沿江区域科学选址，增设标准化消防取水码头及消防水鹤，提升补水便捷性，构建消防基础设施保障体系。</w:t>
      </w:r>
    </w:p>
    <w:p>
      <w:pPr>
        <w:adjustRightInd w:val="0"/>
        <w:snapToGrid w:val="0"/>
        <w:rPr>
          <w:szCs w:val="32"/>
        </w:rPr>
      </w:pPr>
      <w:r>
        <w:rPr>
          <w:rFonts w:eastAsia="楷体_GB2312" w:hint="eastAsia"/>
          <w:b/>
          <w:szCs w:val="32"/>
        </w:rPr>
        <w:t>推进新型基础设施建设。</w:t>
      </w:r>
      <w:r>
        <w:rPr>
          <w:rFonts w:hint="eastAsia"/>
          <w:b/>
          <w:bCs/>
          <w:szCs w:val="32"/>
        </w:rPr>
        <w:t>完善信息网络设施</w:t>
      </w:r>
      <w:r>
        <w:rPr>
          <w:b/>
          <w:bCs/>
          <w:szCs w:val="32"/>
        </w:rPr>
        <w:t>。</w:t>
      </w:r>
      <w:r>
        <w:rPr>
          <w:rFonts w:hint="eastAsia"/>
          <w:szCs w:val="32"/>
        </w:rPr>
        <w:t>深入推进</w:t>
      </w:r>
      <w:r>
        <w:rPr>
          <w:szCs w:val="32"/>
        </w:rPr>
        <w:t>IPV6</w:t>
      </w:r>
      <w:r>
        <w:rPr>
          <w:rFonts w:hint="eastAsia"/>
          <w:szCs w:val="32"/>
        </w:rPr>
        <w:t>规模应用，打造覆盖城乡、高速、安全、稳定的新一代通信基础设施网络。推进城区、重要景区等“双千兆”网络建设，加快通信线路规范建设，开展网线整治，加强偏远农牧区、新景区通信基础设施建设，重点推动</w:t>
      </w:r>
      <w:r>
        <w:rPr>
          <w:szCs w:val="32"/>
        </w:rPr>
        <w:t>G318</w:t>
      </w:r>
      <w:r>
        <w:rPr>
          <w:rFonts w:hint="eastAsia"/>
          <w:szCs w:val="32"/>
        </w:rPr>
        <w:t>、</w:t>
      </w:r>
      <w:r>
        <w:rPr>
          <w:szCs w:val="32"/>
        </w:rPr>
        <w:t>G701</w:t>
      </w:r>
      <w:r>
        <w:rPr>
          <w:rFonts w:hint="eastAsia"/>
          <w:szCs w:val="32"/>
        </w:rPr>
        <w:t>、</w:t>
      </w:r>
      <w:r>
        <w:rPr>
          <w:szCs w:val="32"/>
        </w:rPr>
        <w:t>S505</w:t>
      </w:r>
      <w:r>
        <w:rPr>
          <w:rFonts w:hint="eastAsia"/>
          <w:szCs w:val="32"/>
        </w:rPr>
        <w:t>、</w:t>
      </w:r>
      <w:r>
        <w:rPr>
          <w:szCs w:val="32"/>
        </w:rPr>
        <w:t>G559</w:t>
      </w:r>
      <w:r>
        <w:rPr>
          <w:rFonts w:hint="eastAsia"/>
          <w:szCs w:val="32"/>
        </w:rPr>
        <w:t>等公路信号盲区网络通达，实现</w:t>
      </w:r>
      <w:r>
        <w:rPr>
          <w:szCs w:val="32"/>
        </w:rPr>
        <w:t>5G</w:t>
      </w:r>
      <w:r>
        <w:rPr>
          <w:rFonts w:hint="eastAsia"/>
          <w:szCs w:val="32"/>
        </w:rPr>
        <w:t>网络全覆盖。</w:t>
      </w:r>
      <w:r>
        <w:rPr>
          <w:b/>
          <w:szCs w:val="32"/>
        </w:rPr>
        <w:t>深化智慧城市应用。</w:t>
      </w:r>
      <w:r>
        <w:rPr>
          <w:szCs w:val="32"/>
        </w:rPr>
        <w:t>加快打造“智慧波密”，建立城市综合服务管理平台，实现管网智慧管理、智慧服务功能</w:t>
      </w:r>
      <w:r>
        <w:rPr>
          <w:szCs w:val="36"/>
        </w:rPr>
        <w:t>。为</w:t>
      </w:r>
      <w:r>
        <w:rPr>
          <w:bCs/>
          <w:szCs w:val="32"/>
        </w:rPr>
        <w:t>涉密党政机关建设独立大数据机房，打造智慧波密云端服务平台。重点实施波密县市政基础设施智慧城市项目。</w:t>
      </w:r>
    </w:p>
    <w:tbl>
      <w:tblPr>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8296"/>
      </w:tblGrid>
      <w:tr>
        <w:tc>
          <w:tcPr>
            <w:tcW w:w="8296" w:type="dxa"/>
            <w:shd w:val="clear" w:color="auto" w:fill="C6D9F1"/>
          </w:tcPr>
          <w:p>
            <w:pPr>
              <w:adjustRightInd w:val="0"/>
              <w:snapToGrid w:val="0"/>
              <w:spacing w:line="240" w:lineRule="auto"/>
              <w:ind w:firstLineChars="0" w:firstLine="0"/>
              <w:jc w:val="center"/>
              <w:rPr>
                <w:rFonts w:eastAsia="宋体"/>
                <w:b/>
                <w:bCs/>
                <w:kern w:val="0"/>
                <w:sz w:val="18"/>
                <w:szCs w:val="18"/>
              </w:rPr>
            </w:pPr>
            <w:r>
              <w:rPr>
                <w:rFonts w:ascii="方正楷体_GBK" w:eastAsia="方正楷体_GBK" w:hint="eastAsia"/>
                <w:sz w:val="18"/>
                <w:szCs w:val="18"/>
              </w:rPr>
              <w:t>专栏13  公共基础设施重点项目</w:t>
            </w:r>
          </w:p>
        </w:tc>
      </w:tr>
      <w:tr>
        <w:tc>
          <w:tcPr>
            <w:tcW w:w="8296" w:type="dxa"/>
            <w:shd w:val="clear" w:color="auto" w:fill="CCECFF"/>
          </w:tcPr>
          <w:p>
            <w:pPr>
              <w:spacing w:line="240" w:lineRule="auto"/>
              <w:rPr>
                <w:rFonts w:eastAsia="方正楷体_GBK"/>
                <w:sz w:val="18"/>
                <w:szCs w:val="18"/>
              </w:rPr>
            </w:pPr>
            <w:r>
              <w:rPr>
                <w:rFonts w:eastAsia="方正楷体_GBK"/>
                <w:sz w:val="18"/>
                <w:szCs w:val="18"/>
              </w:rPr>
              <w:t>01</w:t>
            </w:r>
            <w:r>
              <w:rPr>
                <w:rFonts w:eastAsia="方正楷体_GBK" w:hint="eastAsia"/>
                <w:sz w:val="18"/>
                <w:szCs w:val="18"/>
              </w:rPr>
              <w:t>实施县域基建提质工程</w:t>
            </w:r>
          </w:p>
          <w:p>
            <w:pPr>
              <w:spacing w:line="240" w:lineRule="auto"/>
              <w:rPr>
                <w:rFonts w:eastAsia="宋体"/>
                <w:bCs/>
                <w:kern w:val="0"/>
                <w:sz w:val="18"/>
                <w:szCs w:val="18"/>
              </w:rPr>
            </w:pPr>
            <w:r>
              <w:rPr>
                <w:rFonts w:eastAsia="方正仿宋_GBK" w:hint="eastAsia"/>
                <w:sz w:val="18"/>
                <w:szCs w:val="18"/>
              </w:rPr>
              <w:t>推进波密县污水处理厂提标扩容项目，</w:t>
            </w:r>
            <w:bookmarkStart w:id="317" w:name="OLE_LINK17"/>
            <w:r>
              <w:rPr>
                <w:rFonts w:eastAsia="方正仿宋_GBK" w:hint="eastAsia"/>
                <w:sz w:val="18"/>
                <w:szCs w:val="18"/>
              </w:rPr>
              <w:t>实施中心城区地下管网改造项目</w:t>
            </w:r>
            <w:bookmarkEnd w:id="317"/>
            <w:r>
              <w:rPr>
                <w:rFonts w:eastAsia="方正仿宋_GBK" w:hint="eastAsia"/>
                <w:sz w:val="18"/>
                <w:szCs w:val="18"/>
              </w:rPr>
              <w:t>、古乡、多吉乡、易贡乡以及康玉乡污水处理及收集系统工程、松宗镇小集镇污水管网更新改造项目、火车东站片区地下管线及综合管廊项目、波密县第二小学及周边片区排污管网及配套设施项目等。重点推进110kV卓龙输变电项目和10千伏配套送出项目，波密县中低压线路改造项目，推进波密县市政道路滨江南路建设项目、波密县市政道路与</w:t>
            </w:r>
            <w:r>
              <w:rPr>
                <w:rFonts w:eastAsia="方正仿宋_GBK"/>
                <w:sz w:val="18"/>
                <w:szCs w:val="18"/>
              </w:rPr>
              <w:t>G318</w:t>
            </w:r>
            <w:r>
              <w:rPr>
                <w:rFonts w:eastAsia="方正仿宋_GBK" w:hint="eastAsia"/>
                <w:sz w:val="18"/>
                <w:szCs w:val="18"/>
              </w:rPr>
              <w:t>过境线连线工程、</w:t>
            </w:r>
            <w:bookmarkStart w:id="318" w:name="OLE_LINK18"/>
            <w:r>
              <w:rPr>
                <w:rFonts w:eastAsia="方正仿宋_GBK" w:hint="eastAsia"/>
                <w:sz w:val="18"/>
                <w:szCs w:val="18"/>
              </w:rPr>
              <w:t>县城北部环线建设项目、</w:t>
            </w:r>
            <w:bookmarkStart w:id="319" w:name="OLE_LINK20"/>
            <w:r>
              <w:rPr>
                <w:rFonts w:eastAsia="方正仿宋_GBK" w:hint="eastAsia"/>
                <w:sz w:val="18"/>
                <w:szCs w:val="18"/>
              </w:rPr>
              <w:t>扎木镇市政道路建设项目、</w:t>
            </w:r>
            <w:bookmarkEnd w:id="318"/>
            <w:bookmarkEnd w:id="319"/>
            <w:r>
              <w:rPr>
                <w:rFonts w:eastAsia="方正仿宋_GBK" w:hint="eastAsia"/>
                <w:sz w:val="18"/>
                <w:szCs w:val="18"/>
              </w:rPr>
              <w:t>玉普乡小集镇道路改造提升项目。推进波密县县城、</w:t>
            </w:r>
            <w:bookmarkStart w:id="320" w:name="OLE_LINK59"/>
            <w:r>
              <w:rPr>
                <w:rFonts w:eastAsia="方正仿宋_GBK" w:hint="eastAsia"/>
                <w:sz w:val="18"/>
                <w:szCs w:val="18"/>
              </w:rPr>
              <w:t>古乡、松宗镇</w:t>
            </w:r>
            <w:bookmarkEnd w:id="320"/>
            <w:r>
              <w:rPr>
                <w:rFonts w:eastAsia="方正仿宋_GBK" w:hint="eastAsia"/>
                <w:sz w:val="18"/>
                <w:szCs w:val="18"/>
              </w:rPr>
              <w:t>等地线路入地建设项目等，市政消火栓等消防基础设施建设项目。</w:t>
            </w:r>
          </w:p>
          <w:p>
            <w:pPr>
              <w:spacing w:line="240" w:lineRule="auto"/>
              <w:rPr>
                <w:rFonts w:eastAsia="方正楷体_GBK"/>
                <w:sz w:val="18"/>
                <w:szCs w:val="18"/>
              </w:rPr>
            </w:pPr>
            <w:r>
              <w:rPr>
                <w:rFonts w:eastAsia="方正楷体_GBK"/>
                <w:sz w:val="18"/>
                <w:szCs w:val="18"/>
              </w:rPr>
              <w:t>02</w:t>
            </w:r>
            <w:r>
              <w:rPr>
                <w:rFonts w:eastAsia="方正楷体_GBK" w:hint="eastAsia"/>
                <w:sz w:val="18"/>
                <w:szCs w:val="18"/>
              </w:rPr>
              <w:t>推进新型基础设施建设</w:t>
            </w:r>
          </w:p>
          <w:p>
            <w:pPr>
              <w:spacing w:line="240" w:lineRule="auto"/>
              <w:rPr>
                <w:rFonts w:eastAsia="方正仿宋_GBK"/>
                <w:sz w:val="18"/>
                <w:szCs w:val="18"/>
              </w:rPr>
            </w:pPr>
            <w:r>
              <w:rPr>
                <w:rFonts w:eastAsia="方正仿宋_GBK" w:hint="eastAsia"/>
                <w:sz w:val="18"/>
                <w:szCs w:val="18"/>
              </w:rPr>
              <w:t>实施波密县市政基础设施智慧城市项目。</w:t>
            </w:r>
          </w:p>
        </w:tc>
      </w:tr>
    </w:tbl>
    <w:p>
      <w:pPr>
        <w:pStyle w:val="1"/>
        <w:spacing w:after="190" w:line="576" w:lineRule="exact"/>
        <w:ind w:firstLine="420"/>
      </w:pPr>
      <w:bookmarkStart w:id="321" w:name="_Toc218406253"/>
      <w:r>
        <w:br w:type="page"/>
      </w:r>
    </w:p>
    <w:p>
      <w:pPr>
        <w:pStyle w:val="1"/>
        <w:spacing w:after="190" w:line="576" w:lineRule="exact"/>
      </w:pPr>
      <w:bookmarkStart w:id="322" w:name="_Toc223858435"/>
      <w:r>
        <w:t>第</w:t>
      </w:r>
      <w:r>
        <w:rPr>
          <w:rFonts w:hint="eastAsia"/>
        </w:rPr>
        <w:t>八</w:t>
      </w:r>
      <w:r>
        <w:t>章 提质扩容，</w:t>
      </w:r>
      <w:r>
        <w:rPr>
          <w:rFonts w:hint="eastAsia"/>
        </w:rPr>
        <w:t>优化国土空间布局</w:t>
      </w:r>
      <w:bookmarkEnd w:id="321"/>
      <w:bookmarkEnd w:id="322"/>
    </w:p>
    <w:p>
      <w:pPr>
        <w:pStyle w:val="2"/>
        <w:spacing w:after="190" w:line="576" w:lineRule="exact"/>
      </w:pPr>
      <w:bookmarkStart w:id="323" w:name="_Toc218406254"/>
      <w:bookmarkStart w:id="324" w:name="_Toc223858436"/>
      <w:r>
        <w:t xml:space="preserve">第一节 </w:t>
      </w:r>
      <w:bookmarkEnd w:id="323"/>
      <w:r>
        <w:rPr>
          <w:rFonts w:hint="eastAsia"/>
        </w:rPr>
        <w:t>提升中心城区引领能力</w:t>
      </w:r>
      <w:bookmarkEnd w:id="324"/>
    </w:p>
    <w:p>
      <w:pPr>
        <w:rPr>
          <w:szCs w:val="21"/>
        </w:rPr>
      </w:pPr>
      <w:bookmarkStart w:id="325" w:name="OLE_LINK235"/>
      <w:r>
        <w:rPr>
          <w:rFonts w:eastAsia="楷体_GB2312" w:hint="eastAsia"/>
          <w:b/>
          <w:bCs/>
          <w:szCs w:val="32"/>
        </w:rPr>
        <w:t>强化中心城区核心引擎功能。</w:t>
      </w:r>
      <w:r>
        <w:rPr>
          <w:rFonts w:hint="eastAsia"/>
          <w:szCs w:val="32"/>
        </w:rPr>
        <w:t>优化空间开发格局，强化波密县城作为全县</w:t>
      </w:r>
      <w:bookmarkStart w:id="326" w:name="OLE_LINK240"/>
      <w:r>
        <w:rPr>
          <w:rFonts w:hint="eastAsia"/>
          <w:szCs w:val="32"/>
        </w:rPr>
        <w:t>发展核心</w:t>
      </w:r>
      <w:bookmarkEnd w:id="326"/>
      <w:r>
        <w:rPr>
          <w:rFonts w:hint="eastAsia"/>
          <w:szCs w:val="32"/>
        </w:rPr>
        <w:t>的功能定位。紧扣山水相融城市空间格局，提升县城各类要素聚集水平，着力保障产业就业承载空间，强化创新驱动能力，支撑农村人口向城市化发展区集中。</w:t>
      </w:r>
      <w:bookmarkEnd w:id="325"/>
      <w:r>
        <w:rPr>
          <w:rFonts w:hint="eastAsia"/>
          <w:szCs w:val="32"/>
        </w:rPr>
        <w:t>实施城市更新行动，有序推进</w:t>
      </w:r>
      <w:r>
        <w:rPr>
          <w:rFonts w:hint="eastAsia"/>
          <w:bCs/>
          <w:szCs w:val="32"/>
        </w:rPr>
        <w:t>基础设施改造，提升公共服务均等化水平。</w:t>
      </w:r>
      <w:r>
        <w:rPr>
          <w:szCs w:val="32"/>
        </w:rPr>
        <w:t>强化</w:t>
      </w:r>
      <w:r>
        <w:rPr>
          <w:rFonts w:hint="eastAsia"/>
          <w:szCs w:val="32"/>
        </w:rPr>
        <w:t>中心城区辐射带动作用，构建“核心引领、多点支撑”的协同发展体系，</w:t>
      </w:r>
      <w:bookmarkStart w:id="327" w:name="OLE_LINK241"/>
      <w:r>
        <w:rPr>
          <w:szCs w:val="32"/>
        </w:rPr>
        <w:t>重点培育波密县县城综合服务枢纽功能，</w:t>
      </w:r>
      <w:bookmarkEnd w:id="327"/>
      <w:r>
        <w:rPr>
          <w:rFonts w:hint="eastAsia"/>
          <w:szCs w:val="32"/>
        </w:rPr>
        <w:t>建立健全中心城区与周边区域的联动发展机制，推动产业梯度转移与分工协作，形成优势互补、利益共享的区域经济布局。着力提升中心城区综合承载能力，重点强化产业导入、就业创业保障、职业技能培训和社会民生保障等衔接功能，强化人口集聚、产业支撑、民生保障三大能力，切实增强中心城区对周边区域的辐射带动作用。加强城市文化底蕴保护与生态景观建设，统筹推进绿化美化与污染防治，</w:t>
      </w:r>
      <w:r>
        <w:rPr>
          <w:szCs w:val="32"/>
        </w:rPr>
        <w:t>打造宜居宜业宜养宜游的</w:t>
      </w:r>
      <w:r>
        <w:rPr>
          <w:rFonts w:hint="eastAsia"/>
          <w:szCs w:val="32"/>
        </w:rPr>
        <w:t>波密</w:t>
      </w:r>
      <w:r>
        <w:rPr>
          <w:szCs w:val="32"/>
        </w:rPr>
        <w:t>城镇环境。</w:t>
      </w:r>
    </w:p>
    <w:p>
      <w:pPr>
        <w:pStyle w:val="2"/>
        <w:spacing w:after="190" w:line="576" w:lineRule="exact"/>
      </w:pPr>
      <w:bookmarkStart w:id="328" w:name="_Toc218406255"/>
      <w:bookmarkStart w:id="329" w:name="_Toc223858437"/>
      <w:r>
        <w:rPr>
          <w:rFonts w:hint="eastAsia"/>
        </w:rPr>
        <w:t>第二节</w:t>
      </w:r>
      <w:r>
        <w:t xml:space="preserve"> </w:t>
      </w:r>
      <w:r>
        <w:rPr>
          <w:rFonts w:hint="eastAsia"/>
        </w:rPr>
        <w:t>强化交通干线联动能力</w:t>
      </w:r>
      <w:bookmarkEnd w:id="328"/>
      <w:bookmarkEnd w:id="329"/>
    </w:p>
    <w:p>
      <w:pPr>
        <w:rPr>
          <w:szCs w:val="32"/>
        </w:rPr>
      </w:pPr>
      <w:bookmarkStart w:id="330" w:name="OLE_LINK237"/>
      <w:r>
        <w:rPr>
          <w:rFonts w:eastAsia="楷体_GB2312" w:hint="eastAsia"/>
          <w:b/>
          <w:bCs/>
          <w:szCs w:val="32"/>
        </w:rPr>
        <w:t>以交通干线为轴强化区域联动发展。</w:t>
      </w:r>
      <w:bookmarkStart w:id="331" w:name="OLE_LINK243"/>
      <w:r>
        <w:rPr>
          <w:rFonts w:hint="eastAsia"/>
          <w:szCs w:val="32"/>
        </w:rPr>
        <w:t>依</w:t>
      </w:r>
      <w:r>
        <w:rPr>
          <w:szCs w:val="32"/>
        </w:rPr>
        <w:t>托G318</w:t>
      </w:r>
      <w:r>
        <w:rPr>
          <w:rFonts w:hint="eastAsia"/>
          <w:szCs w:val="32"/>
        </w:rPr>
        <w:t>县域横向城乡联动</w:t>
      </w:r>
      <w:r>
        <w:rPr>
          <w:szCs w:val="32"/>
        </w:rPr>
        <w:t>发展轴，</w:t>
      </w:r>
      <w:bookmarkEnd w:id="331"/>
      <w:r>
        <w:rPr>
          <w:rFonts w:hint="eastAsia"/>
          <w:szCs w:val="32"/>
        </w:rPr>
        <w:t>强化区域联动发展，</w:t>
      </w:r>
      <w:r>
        <w:rPr>
          <w:szCs w:val="32"/>
        </w:rPr>
        <w:t>充分发挥波密作为连接西藏与川渝地区的藏东南枢纽作用。</w:t>
      </w:r>
      <w:bookmarkStart w:id="332" w:name="OLE_LINK246"/>
      <w:r>
        <w:rPr>
          <w:rFonts w:hint="eastAsia"/>
          <w:szCs w:val="32"/>
        </w:rPr>
        <w:t>坚持基础设施先行，交通干线提质升级，实现中心城区与周边区域的快速连接。</w:t>
      </w:r>
      <w:r>
        <w:rPr>
          <w:szCs w:val="21"/>
        </w:rPr>
        <w:t>引导生产要素向轴线集聚，构建“以线带面、点轴联动”的空间格局。</w:t>
      </w:r>
      <w:r>
        <w:rPr>
          <w:rFonts w:hint="eastAsia"/>
          <w:szCs w:val="21"/>
        </w:rPr>
        <w:t>挖掘</w:t>
      </w:r>
      <w:r>
        <w:rPr>
          <w:szCs w:val="21"/>
        </w:rPr>
        <w:t>G318</w:t>
      </w:r>
      <w:r>
        <w:rPr>
          <w:rFonts w:hint="eastAsia"/>
          <w:szCs w:val="32"/>
        </w:rPr>
        <w:t>沿线</w:t>
      </w:r>
      <w:r>
        <w:rPr>
          <w:rFonts w:hint="eastAsia"/>
          <w:szCs w:val="21"/>
        </w:rPr>
        <w:t>资源禀赋与产业潜力，规划布局产业园区与物流集散</w:t>
      </w:r>
      <w:r>
        <w:rPr>
          <w:szCs w:val="21"/>
        </w:rPr>
        <w:t>中心，推动物流、商贸、加工制造等产业</w:t>
      </w:r>
      <w:r>
        <w:rPr>
          <w:rFonts w:hint="eastAsia"/>
          <w:szCs w:val="32"/>
        </w:rPr>
        <w:t>向发展轴</w:t>
      </w:r>
      <w:r>
        <w:rPr>
          <w:szCs w:val="21"/>
        </w:rPr>
        <w:t>集聚发展。强化</w:t>
      </w:r>
      <w:r>
        <w:rPr>
          <w:rFonts w:hint="eastAsia"/>
          <w:szCs w:val="21"/>
        </w:rPr>
        <w:t>波密</w:t>
      </w:r>
      <w:r>
        <w:rPr>
          <w:szCs w:val="21"/>
        </w:rPr>
        <w:t>中心城区与周边</w:t>
      </w:r>
      <w:r>
        <w:rPr>
          <w:rFonts w:hint="eastAsia"/>
          <w:szCs w:val="21"/>
        </w:rPr>
        <w:t>乡镇、波密县与邻近县市</w:t>
      </w:r>
      <w:r>
        <w:rPr>
          <w:szCs w:val="21"/>
        </w:rPr>
        <w:t>的产业分工协作，形成优势互补的产业链条。统筹推进交通与文旅、现代农业、商贸物流深度融合，</w:t>
      </w:r>
      <w:bookmarkStart w:id="333" w:name="OLE_LINK251"/>
      <w:r>
        <w:rPr>
          <w:szCs w:val="32"/>
        </w:rPr>
        <w:t>打造G318农业经济廊道、G318水域生态廊道，</w:t>
      </w:r>
      <w:bookmarkEnd w:id="333"/>
      <w:r>
        <w:rPr>
          <w:szCs w:val="21"/>
        </w:rPr>
        <w:t>提升交通干线的综合经济效益。</w:t>
      </w:r>
      <w:r>
        <w:rPr>
          <w:szCs w:val="32"/>
        </w:rPr>
        <w:t xml:space="preserve"> </w:t>
      </w:r>
    </w:p>
    <w:p>
      <w:pPr>
        <w:pStyle w:val="2"/>
        <w:spacing w:after="190" w:line="576" w:lineRule="exact"/>
      </w:pPr>
      <w:bookmarkStart w:id="334" w:name="_Toc218406256"/>
      <w:bookmarkStart w:id="335" w:name="_Toc223858438"/>
      <w:bookmarkEnd w:id="330"/>
      <w:bookmarkEnd w:id="332"/>
      <w:r>
        <w:rPr>
          <w:rFonts w:hint="eastAsia"/>
        </w:rPr>
        <w:t>第三节</w:t>
      </w:r>
      <w:r>
        <w:t xml:space="preserve"> </w:t>
      </w:r>
      <w:r>
        <w:rPr>
          <w:rFonts w:hint="eastAsia"/>
        </w:rPr>
        <w:t>提高生态屏障支撑能力</w:t>
      </w:r>
      <w:bookmarkEnd w:id="334"/>
      <w:bookmarkEnd w:id="335"/>
    </w:p>
    <w:p>
      <w:bookmarkStart w:id="336" w:name="OLE_LINK238"/>
      <w:r>
        <w:rPr>
          <w:rFonts w:eastAsia="楷体_GB2312" w:hint="eastAsia"/>
          <w:b/>
          <w:bCs/>
          <w:szCs w:val="32"/>
        </w:rPr>
        <w:t>锚固波密县生态保护格局。</w:t>
      </w:r>
      <w:r>
        <w:rPr>
          <w:rFonts w:hint="eastAsia"/>
          <w:szCs w:val="32"/>
        </w:rPr>
        <w:t>协同周边县市共保雅鲁藏布大峡谷、念青唐古拉山两大生态屏障，</w:t>
      </w:r>
      <w:r>
        <w:rPr>
          <w:szCs w:val="21"/>
        </w:rPr>
        <w:t>坚持山水林田湖草沙</w:t>
      </w:r>
      <w:r>
        <w:rPr>
          <w:rFonts w:hint="eastAsia"/>
          <w:szCs w:val="21"/>
        </w:rPr>
        <w:t>冰</w:t>
      </w:r>
      <w:r>
        <w:rPr>
          <w:szCs w:val="21"/>
        </w:rPr>
        <w:t>一体化保护和系统治理</w:t>
      </w:r>
      <w:r>
        <w:rPr>
          <w:rFonts w:hint="eastAsia"/>
          <w:szCs w:val="32"/>
        </w:rPr>
        <w:t>，</w:t>
      </w:r>
      <w:r>
        <w:rPr>
          <w:szCs w:val="21"/>
        </w:rPr>
        <w:t>严守生态保护红线。加强重点生态功能区建设，</w:t>
      </w:r>
      <w:bookmarkStart w:id="337" w:name="OLE_LINK254"/>
      <w:r>
        <w:rPr>
          <w:szCs w:val="32"/>
        </w:rPr>
        <w:t>开展生物多样性调查、观测和评估</w:t>
      </w:r>
      <w:bookmarkStart w:id="338" w:name="OLE_LINK261"/>
      <w:bookmarkEnd w:id="337"/>
      <w:r>
        <w:rPr>
          <w:rFonts w:hint="eastAsia"/>
          <w:szCs w:val="32"/>
        </w:rPr>
        <w:t>。</w:t>
      </w:r>
      <w:r>
        <w:rPr>
          <w:szCs w:val="21"/>
        </w:rPr>
        <w:t>实施森林质量精准提升工程，统筹推进荒漠化防治</w:t>
      </w:r>
      <w:bookmarkEnd w:id="338"/>
      <w:r>
        <w:rPr>
          <w:rFonts w:hint="eastAsia"/>
          <w:szCs w:val="21"/>
        </w:rPr>
        <w:t>。</w:t>
      </w:r>
      <w:r>
        <w:rPr>
          <w:szCs w:val="21"/>
        </w:rPr>
        <w:t>加强对自然保护地、湿地公园及重要水源涵养区的精细化管理</w:t>
      </w:r>
      <w:r>
        <w:rPr>
          <w:rFonts w:hint="eastAsia"/>
          <w:szCs w:val="21"/>
        </w:rPr>
        <w:t>，</w:t>
      </w:r>
      <w:r>
        <w:rPr>
          <w:szCs w:val="21"/>
        </w:rPr>
        <w:t>聚焦流域治理与生态修复关键环节</w:t>
      </w:r>
      <w:r>
        <w:rPr>
          <w:rFonts w:hint="eastAsia"/>
          <w:szCs w:val="32"/>
        </w:rPr>
        <w:t>。优化生态空间格局，</w:t>
      </w:r>
      <w:r>
        <w:rPr>
          <w:szCs w:val="21"/>
        </w:rPr>
        <w:t>增强生态系统稳定性与多样性</w:t>
      </w:r>
      <w:r>
        <w:rPr>
          <w:rFonts w:hint="eastAsia"/>
          <w:szCs w:val="21"/>
        </w:rPr>
        <w:t>，</w:t>
      </w:r>
      <w:r>
        <w:rPr>
          <w:rFonts w:hint="eastAsia"/>
          <w:szCs w:val="32"/>
        </w:rPr>
        <w:t>筑牢藏东南生态安全屏障</w:t>
      </w:r>
      <w:bookmarkEnd w:id="336"/>
      <w:r>
        <w:rPr>
          <w:rFonts w:hint="eastAsia"/>
          <w:szCs w:val="32"/>
        </w:rPr>
        <w:t>。</w:t>
      </w:r>
    </w:p>
    <w:p>
      <w:pPr>
        <w:pStyle w:val="2"/>
        <w:spacing w:after="190" w:line="576" w:lineRule="exact"/>
      </w:pPr>
      <w:bookmarkStart w:id="339" w:name="_Toc218406257"/>
      <w:bookmarkStart w:id="340" w:name="_Toc223858439"/>
      <w:r>
        <w:rPr>
          <w:rFonts w:hint="eastAsia"/>
        </w:rPr>
        <w:t>第四节</w:t>
      </w:r>
      <w:r>
        <w:t xml:space="preserve"> </w:t>
      </w:r>
      <w:r>
        <w:rPr>
          <w:rFonts w:hint="eastAsia"/>
        </w:rPr>
        <w:t>加强“四廊多节点”协同能力</w:t>
      </w:r>
      <w:bookmarkEnd w:id="339"/>
      <w:bookmarkEnd w:id="340"/>
    </w:p>
    <w:p>
      <w:pPr>
        <w:rPr>
          <w:szCs w:val="32"/>
        </w:rPr>
      </w:pPr>
      <w:bookmarkStart w:id="341" w:name="OLE_LINK239"/>
      <w:r>
        <w:rPr>
          <w:rFonts w:eastAsia="楷体_GB2312" w:hint="eastAsia"/>
          <w:b/>
          <w:bCs/>
          <w:szCs w:val="32"/>
        </w:rPr>
        <w:t>优化四廊多点布局。</w:t>
      </w:r>
      <w:r>
        <w:rPr>
          <w:szCs w:val="21"/>
        </w:rPr>
        <w:t>坚持系统观念，</w:t>
      </w:r>
      <w:bookmarkStart w:id="342" w:name="OLE_LINK263"/>
      <w:r>
        <w:rPr>
          <w:szCs w:val="32"/>
        </w:rPr>
        <w:t>以线带面促进区域联动，协调各类要素资源调配，</w:t>
      </w:r>
      <w:bookmarkStart w:id="343" w:name="OLE_LINK264"/>
      <w:r>
        <w:rPr>
          <w:szCs w:val="21"/>
        </w:rPr>
        <w:t>依托山系、水系</w:t>
      </w:r>
      <w:r>
        <w:rPr>
          <w:rFonts w:hint="eastAsia"/>
          <w:szCs w:val="21"/>
        </w:rPr>
        <w:t>、</w:t>
      </w:r>
      <w:r>
        <w:rPr>
          <w:szCs w:val="21"/>
        </w:rPr>
        <w:t>主干交通线</w:t>
      </w:r>
      <w:r>
        <w:rPr>
          <w:rFonts w:hint="eastAsia"/>
          <w:szCs w:val="21"/>
        </w:rPr>
        <w:t>与产业布局</w:t>
      </w:r>
      <w:r>
        <w:rPr>
          <w:szCs w:val="21"/>
        </w:rPr>
        <w:t>，高标准</w:t>
      </w:r>
      <w:bookmarkEnd w:id="343"/>
      <w:r>
        <w:rPr>
          <w:szCs w:val="32"/>
        </w:rPr>
        <w:t>打造帕隆藏布水域生态廊道、扎木−倾多农业廊道、扎木−玉许农业廊道、松宗−多吉农业廊道。</w:t>
      </w:r>
      <w:bookmarkStart w:id="344" w:name="OLE_LINK267"/>
      <w:bookmarkEnd w:id="342"/>
      <w:r>
        <w:rPr>
          <w:szCs w:val="32"/>
        </w:rPr>
        <w:t>严守生态红线，</w:t>
      </w:r>
      <w:r>
        <w:rPr>
          <w:rFonts w:hint="eastAsia"/>
          <w:szCs w:val="32"/>
        </w:rPr>
        <w:t>构建以西藏雅鲁藏布大峡谷国家级自然保护区、西藏易贡国家级地质自然公园、西藏嘎朗国家级湿地自然公园、西藏波密自治区级冰川自然公园等四个自然保护地为核心的生态节点</w:t>
      </w:r>
      <w:bookmarkEnd w:id="344"/>
      <w:r>
        <w:rPr>
          <w:rFonts w:hint="eastAsia"/>
          <w:szCs w:val="32"/>
        </w:rPr>
        <w:t>，</w:t>
      </w:r>
      <w:r>
        <w:rPr>
          <w:szCs w:val="21"/>
        </w:rPr>
        <w:t>提升区域生态系统稳定性与连通性。</w:t>
      </w:r>
      <w:bookmarkStart w:id="345" w:name="OLE_LINK280"/>
      <w:bookmarkStart w:id="346" w:name="OLE_LINK271"/>
      <w:r>
        <w:rPr>
          <w:rFonts w:hint="eastAsia"/>
          <w:szCs w:val="32"/>
        </w:rPr>
        <w:t>保护农业生产空间合理有序发展，</w:t>
      </w:r>
      <w:bookmarkEnd w:id="345"/>
      <w:r>
        <w:rPr>
          <w:szCs w:val="21"/>
        </w:rPr>
        <w:t>重点布局现代化农业示范区与茶产业园，</w:t>
      </w:r>
      <w:bookmarkStart w:id="347" w:name="OLE_LINK289"/>
      <w:bookmarkEnd w:id="346"/>
      <w:r>
        <w:rPr>
          <w:rFonts w:hint="eastAsia"/>
          <w:szCs w:val="32"/>
        </w:rPr>
        <w:t>构建以农业产业园和易贡茶场为核心的农业空间节点</w:t>
      </w:r>
      <w:r>
        <w:rPr>
          <w:szCs w:val="32"/>
        </w:rPr>
        <w:t>。</w:t>
      </w:r>
      <w:r>
        <w:rPr>
          <w:szCs w:val="21"/>
        </w:rPr>
        <w:t>聚焦农业空间节点的功能转化，深度挖掘</w:t>
      </w:r>
      <w:r>
        <w:rPr>
          <w:rFonts w:hint="eastAsia"/>
          <w:szCs w:val="32"/>
        </w:rPr>
        <w:t>特色农业与</w:t>
      </w:r>
      <w:r>
        <w:rPr>
          <w:szCs w:val="21"/>
        </w:rPr>
        <w:t>茶产业的生态价值。以茶产业园为载体，</w:t>
      </w:r>
      <w:r>
        <w:rPr>
          <w:rFonts w:hint="eastAsia"/>
          <w:szCs w:val="32"/>
        </w:rPr>
        <w:t>实施茶品种改良与品牌创建行动</w:t>
      </w:r>
      <w:r>
        <w:rPr>
          <w:szCs w:val="21"/>
        </w:rPr>
        <w:t>，加快推动</w:t>
      </w:r>
      <w:r>
        <w:rPr>
          <w:rFonts w:hint="eastAsia"/>
          <w:szCs w:val="32"/>
        </w:rPr>
        <w:t>茶产业</w:t>
      </w:r>
      <w:r>
        <w:rPr>
          <w:szCs w:val="21"/>
        </w:rPr>
        <w:t>向标准化、规模化、高端化转型。</w:t>
      </w:r>
      <w:bookmarkStart w:id="348" w:name="OLE_LINK295"/>
      <w:r>
        <w:rPr>
          <w:szCs w:val="21"/>
        </w:rPr>
        <w:t>严守生态保护红线与永久基本农田保护红线，确保生态节点与农业空间互不侵占、和谐共生</w:t>
      </w:r>
      <w:bookmarkEnd w:id="348"/>
      <w:r>
        <w:rPr>
          <w:rFonts w:hint="eastAsia"/>
          <w:szCs w:val="21"/>
        </w:rPr>
        <w:t>。促进</w:t>
      </w:r>
      <w:r>
        <w:rPr>
          <w:szCs w:val="21"/>
        </w:rPr>
        <w:t>节点拉动与廊道辐射，将生态优势转化为产业动能，提升农业产出效益与品牌竞争力和影响力，构建绿色循环的现代农业产业体系。</w:t>
      </w:r>
    </w:p>
    <w:p>
      <w:pPr>
        <w:pStyle w:val="2"/>
        <w:spacing w:after="190" w:line="576" w:lineRule="exact"/>
      </w:pPr>
      <w:bookmarkStart w:id="349" w:name="_Toc218406258"/>
      <w:bookmarkStart w:id="350" w:name="_Toc223858440"/>
      <w:bookmarkEnd w:id="341"/>
      <w:bookmarkEnd w:id="347"/>
      <w:r>
        <w:rPr>
          <w:rFonts w:hint="eastAsia"/>
        </w:rPr>
        <w:t>第五节</w:t>
      </w:r>
      <w:r>
        <w:t xml:space="preserve"> </w:t>
      </w:r>
      <w:r>
        <w:rPr>
          <w:rFonts w:hint="eastAsia"/>
        </w:rPr>
        <w:t>完善空间布局结构</w:t>
      </w:r>
      <w:bookmarkEnd w:id="349"/>
      <w:bookmarkEnd w:id="350"/>
    </w:p>
    <w:p>
      <w:pPr>
        <w:rPr>
          <w:bCs/>
          <w:szCs w:val="32"/>
        </w:rPr>
      </w:pPr>
      <w:r>
        <w:rPr>
          <w:rFonts w:eastAsia="楷体_GB2312"/>
          <w:b/>
          <w:szCs w:val="32"/>
        </w:rPr>
        <w:t>合理优化国土空间用地结构。</w:t>
      </w:r>
      <w:r>
        <w:rPr>
          <w:bCs/>
          <w:szCs w:val="32"/>
        </w:rPr>
        <w:t>结合国土空间规划分区，</w:t>
      </w:r>
      <w:r>
        <w:rPr>
          <w:szCs w:val="32"/>
        </w:rPr>
        <w:t>按照节约集约原则，以筑牢粮食安全底线、提升生态功能和盘活存量为重点，统筹优化农用地、建设用地和未利用地布局，确定全县用地结构。</w:t>
      </w:r>
      <w:r>
        <w:rPr>
          <w:bCs/>
          <w:szCs w:val="32"/>
        </w:rPr>
        <w:t>严格保护耕地，优化调整园地，统筹安排林地，科学管控草地，合理布局农业设施建设用地</w:t>
      </w:r>
      <w:r>
        <w:rPr>
          <w:rFonts w:hint="eastAsia"/>
          <w:bCs/>
          <w:szCs w:val="32"/>
        </w:rPr>
        <w:t>。</w:t>
      </w:r>
      <w:r>
        <w:rPr>
          <w:bCs/>
          <w:szCs w:val="32"/>
        </w:rPr>
        <w:t>盘活城镇用地，保障乡村振兴发展需求，保障区域基础设施用地，合理配置其他建设用地</w:t>
      </w:r>
      <w:r>
        <w:rPr>
          <w:rFonts w:hint="eastAsia"/>
          <w:bCs/>
          <w:szCs w:val="32"/>
        </w:rPr>
        <w:t>。</w:t>
      </w:r>
      <w:r>
        <w:rPr>
          <w:bCs/>
          <w:szCs w:val="32"/>
        </w:rPr>
        <w:t>强化湿地建设与管理，控制其他土地开发，加强陆地水域保护。</w:t>
      </w:r>
    </w:p>
    <w:p>
      <w:pPr>
        <w:rPr>
          <w:bCs/>
          <w:szCs w:val="32"/>
        </w:rPr>
      </w:pPr>
      <w:r>
        <w:rPr>
          <w:rFonts w:eastAsia="楷体_GB2312" w:hint="eastAsia"/>
          <w:b/>
          <w:szCs w:val="32"/>
        </w:rPr>
        <w:t>明确乡镇国土空间规划定位。</w:t>
      </w:r>
      <w:r>
        <w:rPr>
          <w:rFonts w:hint="eastAsia"/>
          <w:b/>
          <w:szCs w:val="32"/>
        </w:rPr>
        <w:t>扎木镇为中心城镇，</w:t>
      </w:r>
      <w:r>
        <w:rPr>
          <w:rFonts w:hint="eastAsia"/>
          <w:bCs/>
          <w:szCs w:val="32"/>
        </w:rPr>
        <w:t>为全县政治、经济、文化中心，全域旅游服务中心，应积极发展特色农业、物流业、旅游服务业，加快农牧业转移人口城镇化。</w:t>
      </w:r>
      <w:r>
        <w:rPr>
          <w:rFonts w:hint="eastAsia"/>
          <w:b/>
          <w:szCs w:val="32"/>
        </w:rPr>
        <w:t>倾多镇为重点镇，</w:t>
      </w:r>
      <w:r>
        <w:rPr>
          <w:rFonts w:hint="eastAsia"/>
          <w:bCs/>
          <w:szCs w:val="32"/>
        </w:rPr>
        <w:t>是高原冰川桃花生态人文旅游目的地，应重在推进农业和旅游产业的融合发展。</w:t>
      </w:r>
      <w:r>
        <w:rPr>
          <w:rFonts w:hint="eastAsia"/>
          <w:b/>
          <w:szCs w:val="32"/>
        </w:rPr>
        <w:t>松宗镇为重点镇，</w:t>
      </w:r>
      <w:r>
        <w:rPr>
          <w:rFonts w:hint="eastAsia"/>
          <w:bCs/>
          <w:szCs w:val="32"/>
        </w:rPr>
        <w:t>是重要交通枢纽点和物流基地，应以物流园区、商业为重点发展方向，全面推进工业化、城镇化、农业和旅游产业化。</w:t>
      </w:r>
      <w:r>
        <w:rPr>
          <w:rFonts w:hint="eastAsia"/>
          <w:b/>
          <w:szCs w:val="32"/>
        </w:rPr>
        <w:t>古乡为重点镇，</w:t>
      </w:r>
      <w:r>
        <w:rPr>
          <w:rFonts w:hint="eastAsia"/>
          <w:bCs/>
          <w:szCs w:val="32"/>
        </w:rPr>
        <w:t>为特色生态旅游乡镇，应通过特色旅游产业引领，加快火车站枢纽基础设施建设。</w:t>
      </w:r>
      <w:r>
        <w:rPr>
          <w:rFonts w:hint="eastAsia"/>
          <w:b/>
          <w:szCs w:val="32"/>
        </w:rPr>
        <w:t>易贡乡为重点镇，</w:t>
      </w:r>
      <w:r>
        <w:rPr>
          <w:rFonts w:hint="eastAsia"/>
          <w:bCs/>
          <w:szCs w:val="32"/>
        </w:rPr>
        <w:t>重点发展水电能源基地，打造体旅融合和康养疗养圣地。</w:t>
      </w:r>
      <w:r>
        <w:rPr>
          <w:rFonts w:hint="eastAsia"/>
          <w:b/>
          <w:szCs w:val="32"/>
        </w:rPr>
        <w:t>玉许乡为一般乡，</w:t>
      </w:r>
      <w:r>
        <w:rPr>
          <w:rFonts w:hint="eastAsia"/>
          <w:bCs/>
          <w:szCs w:val="32"/>
        </w:rPr>
        <w:t>为</w:t>
      </w:r>
      <w:r>
        <w:rPr>
          <w:rFonts w:hint="eastAsia"/>
          <w:szCs w:val="32"/>
        </w:rPr>
        <w:t>特色农牧业养殖基地</w:t>
      </w:r>
      <w:r>
        <w:rPr>
          <w:rFonts w:hint="eastAsia"/>
          <w:bCs/>
          <w:szCs w:val="32"/>
        </w:rPr>
        <w:t>，北部旅游服务驿站，通过农贸市场、加工基地、配套设施建设完善服务能力。</w:t>
      </w:r>
      <w:r>
        <w:rPr>
          <w:rFonts w:hint="eastAsia"/>
          <w:b/>
          <w:szCs w:val="32"/>
        </w:rPr>
        <w:t>玉普乡为一般乡，</w:t>
      </w:r>
      <w:r>
        <w:rPr>
          <w:rFonts w:hint="eastAsia"/>
          <w:bCs/>
          <w:szCs w:val="32"/>
        </w:rPr>
        <w:t>为</w:t>
      </w:r>
      <w:r>
        <w:rPr>
          <w:rFonts w:hint="eastAsia"/>
          <w:szCs w:val="32"/>
        </w:rPr>
        <w:t>波密县东部门户</w:t>
      </w:r>
      <w:r>
        <w:rPr>
          <w:rFonts w:hint="eastAsia"/>
          <w:bCs/>
          <w:szCs w:val="32"/>
        </w:rPr>
        <w:t>，重点抓好基础设施与公共服务配套建设，提速特色农牧业发展，</w:t>
      </w:r>
      <w:r>
        <w:rPr>
          <w:rFonts w:hint="eastAsia"/>
        </w:rPr>
        <w:t>以优质服务效能带动产业提质，</w:t>
      </w:r>
      <w:r>
        <w:rPr>
          <w:rFonts w:hint="eastAsia"/>
          <w:szCs w:val="32"/>
        </w:rPr>
        <w:t>展现波密形象</w:t>
      </w:r>
      <w:r>
        <w:rPr>
          <w:rFonts w:hint="eastAsia"/>
          <w:bCs/>
          <w:szCs w:val="32"/>
        </w:rPr>
        <w:t>。</w:t>
      </w:r>
      <w:r>
        <w:rPr>
          <w:rFonts w:hint="eastAsia"/>
          <w:b/>
          <w:szCs w:val="32"/>
        </w:rPr>
        <w:t>多吉乡为一般乡，</w:t>
      </w:r>
      <w:r>
        <w:rPr>
          <w:rFonts w:hint="eastAsia"/>
          <w:bCs/>
          <w:szCs w:val="32"/>
        </w:rPr>
        <w:t>为特色农牧业种养殖基地，重点发展特色农牧业，促进城乡配套设施建设。</w:t>
      </w:r>
      <w:r>
        <w:rPr>
          <w:rFonts w:hint="eastAsia"/>
          <w:b/>
          <w:szCs w:val="32"/>
        </w:rPr>
        <w:t>八盖乡为一般乡，</w:t>
      </w:r>
      <w:r>
        <w:rPr>
          <w:rFonts w:hint="eastAsia"/>
          <w:bCs/>
          <w:szCs w:val="32"/>
        </w:rPr>
        <w:t>为特色农牧业发展基地，主要发展农牧业，促进日卡村传统村落保护和城乡配套设施建设。</w:t>
      </w:r>
      <w:r>
        <w:rPr>
          <w:rFonts w:hint="eastAsia"/>
          <w:b/>
          <w:szCs w:val="32"/>
        </w:rPr>
        <w:t>康玉乡为一般乡，</w:t>
      </w:r>
      <w:r>
        <w:rPr>
          <w:rFonts w:hint="eastAsia"/>
          <w:bCs/>
          <w:szCs w:val="32"/>
        </w:rPr>
        <w:t>为特色农牧业发展基地，</w:t>
      </w:r>
      <w:bookmarkStart w:id="351" w:name="OLE_LINK10"/>
      <w:r>
        <w:rPr>
          <w:rFonts w:hint="eastAsia"/>
          <w:bCs/>
          <w:szCs w:val="32"/>
        </w:rPr>
        <w:t>重点推进以贝母主导的林下经济</w:t>
      </w:r>
      <w:bookmarkEnd w:id="351"/>
      <w:r>
        <w:rPr>
          <w:rFonts w:hint="eastAsia"/>
          <w:bCs/>
          <w:szCs w:val="32"/>
        </w:rPr>
        <w:t>产业，配套发展其他农牧业，促进城乡配套设施建设。</w:t>
      </w:r>
      <w:r>
        <w:rPr>
          <w:bCs/>
          <w:szCs w:val="32"/>
        </w:rPr>
        <w:br w:type="page"/>
      </w:r>
    </w:p>
    <w:p>
      <w:pPr>
        <w:pStyle w:val="1"/>
        <w:spacing w:after="190" w:line="576" w:lineRule="exact"/>
      </w:pPr>
      <w:bookmarkStart w:id="352" w:name="_Toc218406259"/>
      <w:bookmarkStart w:id="353" w:name="_Toc223858441"/>
      <w:r>
        <w:t>第</w:t>
      </w:r>
      <w:r>
        <w:rPr>
          <w:rFonts w:hint="eastAsia"/>
        </w:rPr>
        <w:t>九</w:t>
      </w:r>
      <w:r>
        <w:t xml:space="preserve">章 </w:t>
      </w:r>
      <w:r>
        <w:rPr>
          <w:rFonts w:hint="eastAsia"/>
        </w:rPr>
        <w:t>凝心聚力，深化城乡融合发展</w:t>
      </w:r>
      <w:bookmarkEnd w:id="352"/>
      <w:bookmarkEnd w:id="353"/>
    </w:p>
    <w:p>
      <w:pPr>
        <w:rPr>
          <w:bCs/>
          <w:szCs w:val="32"/>
        </w:rPr>
      </w:pPr>
      <w:r>
        <w:rPr>
          <w:rFonts w:hint="eastAsia"/>
          <w:bCs/>
          <w:szCs w:val="32"/>
        </w:rPr>
        <w:t>实施以人为本的新型城镇化建设，完善城镇空间结构，深化城乡要素流动，增强农业农村发展活力，助力城乡协同发展。</w:t>
      </w:r>
    </w:p>
    <w:p>
      <w:pPr>
        <w:pStyle w:val="2"/>
        <w:spacing w:after="190" w:line="576" w:lineRule="exact"/>
      </w:pPr>
      <w:bookmarkStart w:id="354" w:name="_Toc218406260"/>
      <w:bookmarkStart w:id="355" w:name="_Toc223858442"/>
      <w:r>
        <w:rPr>
          <w:rFonts w:hint="eastAsia"/>
        </w:rPr>
        <w:t>第一节</w:t>
      </w:r>
      <w:r>
        <w:t xml:space="preserve"> </w:t>
      </w:r>
      <w:r>
        <w:rPr>
          <w:rFonts w:hint="eastAsia"/>
        </w:rPr>
        <w:t>增强县城核心区综合承载力</w:t>
      </w:r>
      <w:bookmarkEnd w:id="354"/>
      <w:bookmarkEnd w:id="355"/>
    </w:p>
    <w:p>
      <w:pPr>
        <w:rPr>
          <w:rFonts w:eastAsia="楷体_GB2312"/>
          <w:b/>
          <w:szCs w:val="32"/>
        </w:rPr>
      </w:pPr>
      <w:r>
        <w:rPr>
          <w:rFonts w:eastAsia="楷体_GB2312" w:hint="eastAsia"/>
          <w:b/>
          <w:szCs w:val="32"/>
        </w:rPr>
        <w:t>强化新型城镇化载体功能。</w:t>
      </w:r>
      <w:r>
        <w:rPr>
          <w:szCs w:val="32"/>
        </w:rPr>
        <w:t>系统推进</w:t>
      </w:r>
      <w:r>
        <w:rPr>
          <w:rFonts w:hint="eastAsia"/>
          <w:szCs w:val="32"/>
        </w:rPr>
        <w:t>产业培育、环境卫生、市政公用等</w:t>
      </w:r>
      <w:r>
        <w:rPr>
          <w:szCs w:val="32"/>
        </w:rPr>
        <w:t>基础设施完善升级与公共服务网络全域覆盖，</w:t>
      </w:r>
      <w:r>
        <w:rPr>
          <w:rFonts w:hint="eastAsia"/>
          <w:szCs w:val="32"/>
        </w:rPr>
        <w:t>补齐短板弱项，</w:t>
      </w:r>
      <w:r>
        <w:rPr>
          <w:szCs w:val="32"/>
        </w:rPr>
        <w:t>重点培育波密县县城综合服务枢纽功能，</w:t>
      </w:r>
      <w:r>
        <w:rPr>
          <w:rFonts w:hint="eastAsia"/>
          <w:szCs w:val="32"/>
        </w:rPr>
        <w:t>吸纳产业和人口集聚，</w:t>
      </w:r>
      <w:r>
        <w:rPr>
          <w:szCs w:val="32"/>
        </w:rPr>
        <w:t>强化波密县县城在县域经济核心引擎作用</w:t>
      </w:r>
      <w:r>
        <w:rPr>
          <w:rFonts w:hint="eastAsia"/>
          <w:szCs w:val="32"/>
        </w:rPr>
        <w:t>。</w:t>
      </w:r>
      <w:r>
        <w:rPr>
          <w:szCs w:val="32"/>
        </w:rPr>
        <w:t>深化乡镇政务服务集成改革，建立县乡联动的“一站式”政务服务平台，重点强化就业创业指导、职业技能培训和社会保障衔接功能‌，实现</w:t>
      </w:r>
      <w:r>
        <w:rPr>
          <w:rFonts w:hint="eastAsia"/>
          <w:szCs w:val="32"/>
        </w:rPr>
        <w:t>城镇人口承载力、产业支撑力、民生保障力协同增强的发展目标，</w:t>
      </w:r>
      <w:r>
        <w:rPr>
          <w:rFonts w:hint="eastAsia"/>
          <w:bCs/>
          <w:szCs w:val="32"/>
        </w:rPr>
        <w:t>切实增强中心城区对周边区域的辐射带动作用。</w:t>
      </w:r>
    </w:p>
    <w:p>
      <w:pPr>
        <w:rPr>
          <w:szCs w:val="32"/>
        </w:rPr>
      </w:pPr>
      <w:r>
        <w:rPr>
          <w:rFonts w:eastAsia="楷体_GB2312" w:hint="eastAsia"/>
          <w:b/>
          <w:szCs w:val="32"/>
        </w:rPr>
        <w:t>实施县城城市更新专项行动。</w:t>
      </w:r>
      <w:r>
        <w:rPr>
          <w:rFonts w:hint="eastAsia"/>
          <w:b/>
          <w:bCs/>
          <w:szCs w:val="32"/>
        </w:rPr>
        <w:t>开展城中村综合改造。</w:t>
      </w:r>
      <w:r>
        <w:rPr>
          <w:rFonts w:hint="eastAsia"/>
          <w:szCs w:val="32"/>
        </w:rPr>
        <w:t>引导县城中心城区集聚与减量发展，加大城中村基础设施和公共服务设施投入，聚焦扎木村、桑登村、巴琼村等综合改造，推进县城城中村更新项目和城中村线路入地项目。</w:t>
      </w:r>
      <w:r>
        <w:rPr>
          <w:rFonts w:hint="eastAsia"/>
          <w:b/>
          <w:bCs/>
          <w:szCs w:val="32"/>
        </w:rPr>
        <w:t>实施公共空间提升工程。</w:t>
      </w:r>
      <w:r>
        <w:rPr>
          <w:rFonts w:hint="eastAsia"/>
          <w:szCs w:val="32"/>
        </w:rPr>
        <w:t>推进帕隆藏布江两岸及G318沿线建筑外立面翻新和风貌改造，推进县城老旧路灯更新。盘活利用县城旧客运站和扎木林场，开展波茂广场数字化、智能化、低碳化改造，推进文化活动中心改造，加快</w:t>
      </w:r>
      <w:bookmarkStart w:id="356" w:name="OLE_LINK129"/>
      <w:r>
        <w:rPr>
          <w:rFonts w:hint="eastAsia"/>
          <w:szCs w:val="32"/>
        </w:rPr>
        <w:t>建设</w:t>
      </w:r>
      <w:bookmarkEnd w:id="356"/>
      <w:r>
        <w:rPr>
          <w:rFonts w:hint="eastAsia"/>
          <w:szCs w:val="32"/>
        </w:rPr>
        <w:t>县城停车场，推进教育、医疗、养老、仓储等公共设施改造升级。积极探索县域房地产发展新模式，实施房屋品质提升工程、物业服务质量提升行动，增加“好房子”供给。</w:t>
      </w:r>
    </w:p>
    <w:p>
      <w:pPr>
        <w:rPr>
          <w:bCs/>
          <w:szCs w:val="32"/>
        </w:rPr>
      </w:pPr>
      <w:r>
        <w:rPr>
          <w:rFonts w:eastAsia="楷体_GB2312" w:hint="eastAsia"/>
          <w:b/>
          <w:szCs w:val="32"/>
        </w:rPr>
        <w:t>构建公平有序人口吸纳机制。</w:t>
      </w:r>
      <w:r>
        <w:rPr>
          <w:rFonts w:hint="eastAsia"/>
          <w:bCs/>
          <w:szCs w:val="32"/>
        </w:rPr>
        <w:t>统筹规划城镇建设区，优先布局劳动密集型服务业。配套技能培训与保障性住房，确保就业居住相匹配，</w:t>
      </w:r>
      <w:r>
        <w:rPr>
          <w:rFonts w:hint="eastAsia"/>
          <w:szCs w:val="32"/>
        </w:rPr>
        <w:t>提升转移人口的劳动技能与市场竞争力。健全社会保障与公共服务体系，推动转移人口平等享有社会保险、住房保障及随迁子女义务教育等权利，完善养老、医疗保险接续机制，组织社区文化活动，增强文化融入与归属感。</w:t>
      </w:r>
      <w:r>
        <w:rPr>
          <w:rFonts w:hint="eastAsia"/>
          <w:bCs/>
          <w:szCs w:val="32"/>
        </w:rPr>
        <w:t>完善城乡协同发展政策，强化土地权益保障，确保城镇年轻劳动力有序转移的同时，维持乡村人口可持续发展。</w:t>
      </w:r>
    </w:p>
    <w:tbl>
      <w:tblPr>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8296"/>
      </w:tblGrid>
      <w:tr>
        <w:tc>
          <w:tcPr>
            <w:tcW w:w="8296" w:type="dxa"/>
            <w:shd w:val="clear" w:color="auto" w:fill="C6D9F1"/>
          </w:tcPr>
          <w:p>
            <w:pPr>
              <w:spacing w:line="240" w:lineRule="auto"/>
              <w:ind w:firstLineChars="0" w:firstLine="0"/>
              <w:jc w:val="center"/>
              <w:rPr>
                <w:rFonts w:eastAsia="宋体"/>
                <w:b/>
                <w:bCs/>
                <w:kern w:val="0"/>
                <w:sz w:val="18"/>
                <w:szCs w:val="18"/>
              </w:rPr>
            </w:pPr>
            <w:r>
              <w:rPr>
                <w:rFonts w:ascii="方正楷体_GBK" w:eastAsia="方正楷体_GBK" w:hint="eastAsia"/>
                <w:sz w:val="18"/>
                <w:szCs w:val="18"/>
              </w:rPr>
              <w:t>专栏14  增强县城核心区综合承载力</w:t>
            </w:r>
          </w:p>
        </w:tc>
      </w:tr>
      <w:tr>
        <w:tc>
          <w:tcPr>
            <w:tcW w:w="8296" w:type="dxa"/>
            <w:shd w:val="clear" w:color="auto" w:fill="CCECFF"/>
          </w:tcPr>
          <w:p>
            <w:pPr>
              <w:spacing w:line="240" w:lineRule="auto"/>
              <w:rPr>
                <w:rFonts w:eastAsia="方正楷体_GBK"/>
                <w:sz w:val="18"/>
                <w:szCs w:val="18"/>
              </w:rPr>
            </w:pPr>
            <w:r>
              <w:rPr>
                <w:rFonts w:eastAsia="方正楷体_GBK"/>
                <w:sz w:val="18"/>
                <w:szCs w:val="18"/>
              </w:rPr>
              <w:t>01</w:t>
            </w:r>
            <w:r>
              <w:rPr>
                <w:rFonts w:eastAsia="方正楷体_GBK" w:hint="eastAsia"/>
                <w:sz w:val="18"/>
                <w:szCs w:val="18"/>
              </w:rPr>
              <w:t>实施县城城市更新专项行动</w:t>
            </w:r>
          </w:p>
          <w:p>
            <w:pPr>
              <w:spacing w:line="240" w:lineRule="auto"/>
              <w:rPr>
                <w:rFonts w:eastAsia="方正仿宋_GBK"/>
                <w:sz w:val="18"/>
                <w:szCs w:val="18"/>
              </w:rPr>
            </w:pPr>
            <w:r>
              <w:rPr>
                <w:rFonts w:eastAsia="方正仿宋_GBK" w:hint="eastAsia"/>
                <w:sz w:val="18"/>
                <w:szCs w:val="18"/>
              </w:rPr>
              <w:t>实施波茂广场改建项目、文化活动中心改建项目、</w:t>
            </w:r>
            <w:bookmarkStart w:id="357" w:name="OLE_LINK22"/>
            <w:r>
              <w:rPr>
                <w:rFonts w:eastAsia="方正仿宋_GBK" w:hint="eastAsia"/>
                <w:sz w:val="18"/>
                <w:szCs w:val="18"/>
              </w:rPr>
              <w:t>博窝人民公园建设项目</w:t>
            </w:r>
            <w:bookmarkEnd w:id="357"/>
            <w:r>
              <w:rPr>
                <w:rFonts w:eastAsia="方正仿宋_GBK" w:hint="eastAsia"/>
                <w:sz w:val="18"/>
                <w:szCs w:val="18"/>
              </w:rPr>
              <w:t>、</w:t>
            </w:r>
            <w:bookmarkStart w:id="358" w:name="OLE_LINK29"/>
            <w:r>
              <w:rPr>
                <w:rFonts w:eastAsia="方正仿宋_GBK" w:hint="eastAsia"/>
                <w:sz w:val="18"/>
                <w:szCs w:val="18"/>
              </w:rPr>
              <w:t>县城口袋公园建设项目</w:t>
            </w:r>
            <w:bookmarkEnd w:id="358"/>
            <w:r>
              <w:rPr>
                <w:rFonts w:eastAsia="方正仿宋_GBK" w:hint="eastAsia"/>
                <w:sz w:val="18"/>
                <w:szCs w:val="18"/>
              </w:rPr>
              <w:t>、存量公园广场品质提升项目、帕隆藏布江两岸风貌改造提升项目等，新建县城停车场、绿道长廊，实施波密县城老旧路灯更新改造项目、桑登路风貌提升更新项目、县城门户提升工程、县城老旧小区提质改造项目、公共厕所新建项目等，</w:t>
            </w:r>
            <w:bookmarkStart w:id="359" w:name="OLE_LINK35"/>
            <w:r>
              <w:rPr>
                <w:rFonts w:eastAsia="方正仿宋_GBK" w:hint="eastAsia"/>
                <w:sz w:val="18"/>
                <w:szCs w:val="18"/>
              </w:rPr>
              <w:t>推进G</w:t>
            </w:r>
            <w:r>
              <w:rPr>
                <w:rFonts w:eastAsia="方正仿宋_GBK"/>
                <w:sz w:val="18"/>
                <w:szCs w:val="18"/>
              </w:rPr>
              <w:t>318</w:t>
            </w:r>
            <w:r>
              <w:rPr>
                <w:rFonts w:eastAsia="方正仿宋_GBK" w:hint="eastAsia"/>
                <w:sz w:val="18"/>
                <w:szCs w:val="18"/>
              </w:rPr>
              <w:t>主街道提质改造，</w:t>
            </w:r>
            <w:bookmarkEnd w:id="359"/>
            <w:r>
              <w:rPr>
                <w:rFonts w:eastAsia="方正仿宋_GBK" w:hint="eastAsia"/>
                <w:sz w:val="18"/>
                <w:szCs w:val="18"/>
              </w:rPr>
              <w:t>推进扎木村、桑登村、巴琼村和扎木林场综合改造，</w:t>
            </w:r>
            <w:bookmarkStart w:id="360" w:name="OLE_LINK36"/>
            <w:r>
              <w:rPr>
                <w:rFonts w:eastAsia="方正仿宋_GBK" w:hint="eastAsia"/>
                <w:sz w:val="18"/>
                <w:szCs w:val="18"/>
              </w:rPr>
              <w:t>打造滨水商业文化街区</w:t>
            </w:r>
            <w:bookmarkEnd w:id="360"/>
            <w:r>
              <w:rPr>
                <w:rFonts w:eastAsia="方正仿宋_GBK" w:hint="eastAsia"/>
                <w:sz w:val="18"/>
                <w:szCs w:val="18"/>
              </w:rPr>
              <w:t>，新建波密县数字住建一期、二期、三期项目。</w:t>
            </w:r>
          </w:p>
        </w:tc>
      </w:tr>
    </w:tbl>
    <w:p>
      <w:pPr>
        <w:pStyle w:val="2"/>
        <w:spacing w:after="190" w:line="576" w:lineRule="exact"/>
      </w:pPr>
      <w:bookmarkStart w:id="361" w:name="_Toc218406261"/>
      <w:bookmarkStart w:id="362" w:name="_Toc223858443"/>
      <w:r>
        <w:rPr>
          <w:rFonts w:hint="eastAsia"/>
        </w:rPr>
        <w:t>第二节</w:t>
      </w:r>
      <w:r>
        <w:t xml:space="preserve"> </w:t>
      </w:r>
      <w:r>
        <w:rPr>
          <w:rFonts w:hint="eastAsia"/>
        </w:rPr>
        <w:t>加快推进城乡融合发展</w:t>
      </w:r>
      <w:bookmarkEnd w:id="361"/>
      <w:bookmarkEnd w:id="362"/>
    </w:p>
    <w:p>
      <w:pPr>
        <w:rPr>
          <w:szCs w:val="32"/>
        </w:rPr>
      </w:pPr>
      <w:r>
        <w:rPr>
          <w:rFonts w:eastAsia="楷体_GB2312" w:hint="eastAsia"/>
          <w:b/>
          <w:szCs w:val="32"/>
        </w:rPr>
        <w:t>强化以县城为枢纽辐射功能。</w:t>
      </w:r>
      <w:r>
        <w:rPr>
          <w:rFonts w:hint="eastAsia"/>
          <w:szCs w:val="32"/>
        </w:rPr>
        <w:t>实施县域公共服务设施提质工程，推动教育医疗、文化体育等资源向乡镇延伸布局，构建“县城</w:t>
      </w:r>
      <w:r>
        <w:rPr>
          <w:szCs w:val="32"/>
        </w:rPr>
        <w:t>-</w:t>
      </w:r>
      <w:r>
        <w:rPr>
          <w:rFonts w:hint="eastAsia"/>
          <w:szCs w:val="32"/>
        </w:rPr>
        <w:t>中心镇</w:t>
      </w:r>
      <w:r>
        <w:rPr>
          <w:szCs w:val="32"/>
        </w:rPr>
        <w:t>-</w:t>
      </w:r>
      <w:r>
        <w:rPr>
          <w:rFonts w:hint="eastAsia"/>
          <w:szCs w:val="32"/>
        </w:rPr>
        <w:t>行政村”三级服务网络</w:t>
      </w:r>
      <w:r>
        <w:rPr>
          <w:szCs w:val="32"/>
        </w:rPr>
        <w:t>‌</w:t>
      </w:r>
      <w:r>
        <w:rPr>
          <w:rFonts w:hint="eastAsia"/>
          <w:szCs w:val="32"/>
        </w:rPr>
        <w:t>。强化县城与中心镇公共服务覆盖水平，统一规划公共服务设施建设，</w:t>
      </w:r>
      <w:r>
        <w:rPr>
          <w:rFonts w:hint="eastAsia"/>
        </w:rPr>
        <w:t>推进小集镇品质提升，重点开展</w:t>
      </w:r>
      <w:r>
        <w:rPr>
          <w:rFonts w:hint="eastAsia"/>
          <w:szCs w:val="32"/>
        </w:rPr>
        <w:t>松宗、通麦、古乡小集镇</w:t>
      </w:r>
      <w:r>
        <w:rPr>
          <w:rFonts w:hint="eastAsia"/>
        </w:rPr>
        <w:t>功能修补工程，完善水电路网、污水处理及生活垃圾分类等基础设施，补齐医疗、教育、养老等公共服务短板。坚持小集镇特色风貌塑造，加强传统村镇保护与活化利用，积极发展镇域特色经济，不断增强小集镇集聚带动能力和公共服务溢出效应，打造城乡融合发展关键节点。</w:t>
      </w:r>
      <w:r>
        <w:rPr>
          <w:rFonts w:hint="eastAsia"/>
          <w:szCs w:val="32"/>
        </w:rPr>
        <w:t>完善农产品流通体系，建设农产品市场销售网络，农贸市场内设置农产品便捷检测机构，让农产品更便捷更通畅流向城镇。</w:t>
      </w:r>
    </w:p>
    <w:p>
      <w:pPr>
        <w:rPr>
          <w:szCs w:val="32"/>
        </w:rPr>
      </w:pPr>
      <w:r>
        <w:rPr>
          <w:rFonts w:eastAsia="楷体_GB2312" w:hint="eastAsia"/>
          <w:b/>
          <w:szCs w:val="32"/>
        </w:rPr>
        <w:t>畅通城乡双向发展通道。</w:t>
      </w:r>
      <w:r>
        <w:rPr>
          <w:rFonts w:hint="eastAsia"/>
          <w:szCs w:val="32"/>
        </w:rPr>
        <w:t>完善城乡间农产品流通体系，建设城乡一体化销售网络与质量检测机构，畅通城乡双向发展通道。依托电商平台、社区团购、直播带货等新业态，拓展线上销售渠道，提升农产品市场渗透率。鼓励县城农科农技人员下乡，促进农业农村现代化发展。推动短期性、外援式城乡产业单向帮扶向长效性、内生型城乡产业互补转变，助力城乡双向发展。</w:t>
      </w:r>
    </w:p>
    <w:p>
      <w:pPr>
        <w:rPr>
          <w:szCs w:val="32"/>
        </w:rPr>
      </w:pPr>
      <w:r>
        <w:rPr>
          <w:rFonts w:eastAsia="楷体_GB2312" w:hint="eastAsia"/>
          <w:b/>
          <w:szCs w:val="32"/>
        </w:rPr>
        <w:t>提升城乡融合发展水平。</w:t>
      </w:r>
      <w:r>
        <w:rPr>
          <w:rFonts w:hint="eastAsia"/>
          <w:b/>
          <w:szCs w:val="32"/>
        </w:rPr>
        <w:t>统筹新型城镇化与乡村振兴。</w:t>
      </w:r>
      <w:r>
        <w:rPr>
          <w:rFonts w:hint="eastAsia"/>
          <w:bCs/>
          <w:szCs w:val="32"/>
        </w:rPr>
        <w:t>优化城乡规划布局，优先保障乡村振兴项目用地需求，推动产业、公共服务等领域深度融合。</w:t>
      </w:r>
      <w:r>
        <w:rPr>
          <w:rFonts w:hint="eastAsia"/>
          <w:szCs w:val="32"/>
        </w:rPr>
        <w:t>构建城乡互补、协调发展、共同繁荣的新型城乡关系，统筹推进新型城镇化与乡村全面振兴。</w:t>
      </w:r>
      <w:r>
        <w:rPr>
          <w:rFonts w:hint="eastAsia"/>
          <w:b/>
          <w:bCs/>
          <w:szCs w:val="32"/>
        </w:rPr>
        <w:t>完善要素配置与公共资源倾斜机制。</w:t>
      </w:r>
      <w:r>
        <w:rPr>
          <w:rFonts w:hint="eastAsia"/>
          <w:szCs w:val="32"/>
        </w:rPr>
        <w:t>促进城乡资源自由流动，持续缩小城乡发展差距。推动土地、资金、技术等资源要素自由流动，优先向农村倾斜教育、医疗、基础设施资源，完善农村基础设施。推行城乡教育资源共享与文化互鉴，推广远程医疗、在线教育，增强内生发展动力。通过规划优化、产业振兴与要素流动，全面提升城乡融合发展水平，实现城乡共同繁荣。</w:t>
      </w:r>
      <w:r>
        <w:rPr>
          <w:szCs w:val="32"/>
        </w:rPr>
        <w:br w:type="page"/>
      </w:r>
    </w:p>
    <w:p>
      <w:pPr>
        <w:pStyle w:val="2"/>
        <w:spacing w:after="190" w:line="576" w:lineRule="exact"/>
      </w:pPr>
      <w:bookmarkStart w:id="363" w:name="_Toc218406262"/>
      <w:bookmarkStart w:id="364" w:name="_Toc223858444"/>
      <w:r>
        <w:rPr>
          <w:rFonts w:hint="eastAsia"/>
        </w:rPr>
        <w:t>第三节</w:t>
      </w:r>
      <w:r>
        <w:t xml:space="preserve"> </w:t>
      </w:r>
      <w:r>
        <w:rPr>
          <w:rFonts w:hint="eastAsia"/>
        </w:rPr>
        <w:t>建设高原宜居宜业和美乡村</w:t>
      </w:r>
      <w:bookmarkEnd w:id="363"/>
      <w:bookmarkEnd w:id="364"/>
    </w:p>
    <w:p>
      <w:pPr>
        <w:rPr>
          <w:szCs w:val="32"/>
        </w:rPr>
      </w:pPr>
      <w:r>
        <w:rPr>
          <w:rFonts w:eastAsia="楷体_GB2312" w:hint="eastAsia"/>
          <w:b/>
          <w:szCs w:val="32"/>
        </w:rPr>
        <w:t>加强乡村规划建设管理。</w:t>
      </w:r>
      <w:r>
        <w:rPr>
          <w:rFonts w:hint="eastAsia"/>
          <w:szCs w:val="32"/>
        </w:rPr>
        <w:t>坚持县域规划建设一盘棋，统筹县域城乡规划布局，按照集聚提升、城郊融合、特色保护、搬迁撤并、守土固边、保留改善的思路，分类有序推进乡村发展，对县域内城乡产业发展、基础设施建设、基本公共服务等进行统一规划，积极有序推进和美乡村建设。优化乡村建设用地审核绿色通道，优先保障用于巩固拓展脱贫攻坚成果、全面推进乡村振兴的项目建设用地需求。</w:t>
      </w:r>
    </w:p>
    <w:p>
      <w:pPr>
        <w:rPr>
          <w:b/>
          <w:szCs w:val="32"/>
        </w:rPr>
      </w:pPr>
      <w:r>
        <w:rPr>
          <w:rFonts w:eastAsia="楷体_GB2312" w:hint="eastAsia"/>
          <w:b/>
          <w:szCs w:val="32"/>
        </w:rPr>
        <w:t>实施乡村建设行动。</w:t>
      </w:r>
      <w:r>
        <w:rPr>
          <w:rFonts w:hint="eastAsia"/>
          <w:szCs w:val="32"/>
        </w:rPr>
        <w:t>推进乡村公共基础设施建设，构建便捷安全的乡村公路网络，建设公路沿线自动预警系统，提高公路防灾水平和通行保障能力，重点推进农村客运班线建设，实现具备通行条件的行政村客运班线全覆盖。加强农村卫生院、卫生室、应急救灾仓库等建设，持续改善农村义务教育学校基本办学条件，推进村级基层文体服务设施建设。常态化全覆盖开展农村房屋安全隐患排查整治和房屋抗震鉴定，实施康玉乡、玉许乡等农村危房改造。补齐人居环境短板弱项，深入开展农村人居环境综合整治行动，持续推动人畜分离和厕所革命，提升农牧区村容村貌。巩固乡村生态安全，对影响村庄生态安全的自然灾害进行重点整治，修建农村消防物资储备库。</w:t>
      </w:r>
    </w:p>
    <w:p>
      <w:pPr>
        <w:rPr>
          <w:szCs w:val="21"/>
        </w:rPr>
      </w:pPr>
      <w:r>
        <w:rPr>
          <w:rFonts w:eastAsia="楷体_GB2312" w:hint="eastAsia"/>
          <w:b/>
          <w:szCs w:val="32"/>
        </w:rPr>
        <w:t>持续巩固拓展脱贫攻坚成果</w:t>
      </w:r>
      <w:r>
        <w:rPr>
          <w:rFonts w:hint="eastAsia"/>
          <w:szCs w:val="21"/>
        </w:rPr>
        <w:t>。统筹建立常态化防返贫机制，坚持精准帮扶，长久守住不发生规模性返贫致贫底线。把促进农牧民增收作为“三农”工作的中心任务，增强乡村振兴投入力度、优化农业和产业政策、推动城乡要素双向流动，不断缩小城乡居民收入差距。学习运用“千万工程”经验，深化“一村一策”，逐步提高农村基础设施完备度、公共服务便利度、人居环境舒适度，推动农村建设基本具备现代化条件。</w:t>
      </w:r>
    </w:p>
    <w:tbl>
      <w:tblPr>
        <w:jc w:val="center"/>
        <w:tblW w:w="8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391"/>
      </w:tblGrid>
      <w:tr>
        <w:trPr>
          <w:trHeight w:val="493"/>
        </w:trPr>
        <w:tc>
          <w:tcPr>
            <w:tcW w:w="8391" w:type="dxa"/>
            <w:shd w:val="clear" w:color="auto" w:fill="C6D9F1"/>
            <w:vAlign w:val="center"/>
          </w:tcPr>
          <w:p>
            <w:pPr>
              <w:spacing w:line="240" w:lineRule="auto"/>
              <w:ind w:firstLineChars="0" w:firstLine="0"/>
              <w:jc w:val="center"/>
              <w:rPr>
                <w:rFonts w:ascii="方正楷体_GBK" w:eastAsia="方正楷体_GBK"/>
                <w:sz w:val="18"/>
                <w:szCs w:val="18"/>
              </w:rPr>
            </w:pPr>
            <w:r>
              <w:rPr>
                <w:rFonts w:ascii="方正楷体_GBK" w:eastAsia="方正楷体_GBK" w:hint="eastAsia"/>
                <w:sz w:val="18"/>
                <w:szCs w:val="18"/>
              </w:rPr>
              <w:t>专栏15   建设高原宜居宜业和美乡村</w:t>
            </w:r>
          </w:p>
        </w:tc>
      </w:tr>
      <w:tr>
        <w:trPr>
          <w:trHeight w:val="979"/>
        </w:trPr>
        <w:tc>
          <w:tcPr>
            <w:tcW w:w="8391" w:type="dxa"/>
            <w:shd w:val="clear" w:color="auto" w:fill="CCECFF"/>
            <w:vAlign w:val="center"/>
          </w:tcPr>
          <w:p>
            <w:pPr>
              <w:spacing w:line="240" w:lineRule="auto"/>
              <w:rPr>
                <w:rFonts w:eastAsia="方正楷体_GBK"/>
                <w:sz w:val="18"/>
                <w:szCs w:val="18"/>
              </w:rPr>
            </w:pPr>
            <w:r>
              <w:rPr>
                <w:rFonts w:eastAsia="方正楷体_GBK"/>
                <w:sz w:val="18"/>
                <w:szCs w:val="18"/>
              </w:rPr>
              <w:t xml:space="preserve">01 </w:t>
            </w:r>
            <w:r>
              <w:rPr>
                <w:rFonts w:eastAsia="方正楷体_GBK" w:hint="eastAsia"/>
                <w:sz w:val="18"/>
                <w:szCs w:val="18"/>
              </w:rPr>
              <w:t>实施乡村建设行动</w:t>
            </w:r>
          </w:p>
          <w:p>
            <w:pPr>
              <w:spacing w:line="240" w:lineRule="auto"/>
              <w:rPr>
                <w:rFonts w:eastAsia="宋体"/>
                <w:bCs/>
                <w:sz w:val="18"/>
                <w:szCs w:val="18"/>
              </w:rPr>
            </w:pPr>
            <w:r>
              <w:rPr>
                <w:rFonts w:eastAsia="方正仿宋_GBK" w:hint="eastAsia"/>
                <w:sz w:val="18"/>
                <w:szCs w:val="18"/>
              </w:rPr>
              <w:t>开展农村道路提升改造，高、低压线路改造，维修污水排水渠，新建牧场移动通讯设施建设和信号覆盖延伸项目，新建村级公共体育设施、农牧民活动中心等。开展人居环境整治提升建设、庭院整治、人畜分离等项目。实施卫生院、卫生室、应急救灾仓库建设、救灾仓库智能化提升等项目。建设乡镇供水系统建设，完善提升乡镇输电和通信线路等基础设施，食品药品检测中心，八盖乡、康玉乡等水电路网基础设施的保障工程，康玉乡高海拔乡镇职工服务中心建设项目。</w:t>
            </w:r>
          </w:p>
        </w:tc>
      </w:tr>
    </w:tbl>
    <w:p>
      <w:pPr>
        <w:pStyle w:val="1"/>
        <w:spacing w:after="190" w:line="576" w:lineRule="exact"/>
        <w:ind w:firstLine="420"/>
      </w:pPr>
      <w:bookmarkStart w:id="365" w:name="_Toc218406263"/>
      <w:r>
        <w:br w:type="page"/>
      </w:r>
    </w:p>
    <w:p>
      <w:pPr>
        <w:pStyle w:val="1"/>
        <w:spacing w:after="190" w:line="576" w:lineRule="exact"/>
      </w:pPr>
      <w:bookmarkStart w:id="366" w:name="_Toc223858445"/>
      <w:r>
        <w:rPr>
          <w:rFonts w:hint="eastAsia"/>
        </w:rPr>
        <w:t>第十章</w:t>
      </w:r>
      <w:r>
        <w:t xml:space="preserve"> </w:t>
      </w:r>
      <w:r>
        <w:rPr>
          <w:rFonts w:hint="eastAsia"/>
        </w:rPr>
        <w:t>惠民利民，推动社会事业进步</w:t>
      </w:r>
      <w:bookmarkEnd w:id="365"/>
      <w:bookmarkEnd w:id="366"/>
    </w:p>
    <w:p>
      <w:r>
        <w:rPr>
          <w:rFonts w:hint="eastAsia"/>
        </w:rPr>
        <w:t>加强普惠性、基础性、兜底性民生建设，推动就业、教育、文化、医疗卫生、社会保障等事业一体化发展，扎实推进共同富裕。</w:t>
      </w:r>
    </w:p>
    <w:p>
      <w:pPr>
        <w:pStyle w:val="2"/>
        <w:spacing w:after="190" w:line="576" w:lineRule="exact"/>
      </w:pPr>
      <w:bookmarkStart w:id="367" w:name="_Toc218406264"/>
      <w:bookmarkStart w:id="368" w:name="_Toc223858446"/>
      <w:r>
        <w:rPr>
          <w:rFonts w:hint="eastAsia"/>
        </w:rPr>
        <w:t>第一节</w:t>
      </w:r>
      <w:r>
        <w:t xml:space="preserve"> </w:t>
      </w:r>
      <w:r>
        <w:rPr>
          <w:rFonts w:hint="eastAsia"/>
        </w:rPr>
        <w:t>多措并举促进高质量就业</w:t>
      </w:r>
      <w:bookmarkEnd w:id="367"/>
      <w:bookmarkEnd w:id="368"/>
    </w:p>
    <w:p>
      <w:pPr>
        <w:rPr>
          <w:szCs w:val="32"/>
        </w:rPr>
      </w:pPr>
      <w:r>
        <w:rPr>
          <w:rFonts w:eastAsia="楷体_GB2312" w:hint="eastAsia"/>
          <w:b/>
          <w:szCs w:val="32"/>
        </w:rPr>
        <w:t>多渠道促进群众就业。</w:t>
      </w:r>
      <w:r>
        <w:rPr>
          <w:rFonts w:hint="eastAsia"/>
          <w:szCs w:val="32"/>
        </w:rPr>
        <w:t>鼓励群众参与重大项目建设。通过政策保障等举措，为群众增收创造条件，形成统一组织、共同参与、合作共赢的参工参建新模式。推广以工代赈，优先将本地群众纳入重大项目参工参建范畴，确保群众收入持续稳定增长。挖掘重大工程建设、服务保障及建后管护等岗位，吸纳群众就地就近就业。全面推广产业兴农模式。发展壮大特色农牧与文旅等产业，完善联农带农机制，鼓励龙头企业发挥引领作用，联合各类新型经营主体，组建农牧业产业化联合体，扩大吸纳农牧民就业，增强增收能力。通过产业带动、消费帮扶与精准补贴，全面扩宽农牧民增收渠道，助力共同富裕。</w:t>
      </w:r>
    </w:p>
    <w:p>
      <w:pPr>
        <w:rPr>
          <w:szCs w:val="32"/>
        </w:rPr>
      </w:pPr>
      <w:r>
        <w:rPr>
          <w:rFonts w:eastAsia="楷体_GB2312" w:hint="eastAsia"/>
          <w:b/>
          <w:szCs w:val="32"/>
        </w:rPr>
        <w:t>加强职业技能培训。</w:t>
      </w:r>
      <w:r>
        <w:rPr>
          <w:rFonts w:hint="eastAsia"/>
          <w:szCs w:val="32"/>
        </w:rPr>
        <w:t>依托重大工程建设、优势产业发展，探索构建政府、院校、行业、企业协同的培训机制。加强职业技能培训，提升劳动者职业技能与综合素质。</w:t>
      </w:r>
      <w:bookmarkStart w:id="369" w:name="OLE_LINK62"/>
      <w:r>
        <w:rPr>
          <w:rFonts w:hint="eastAsia"/>
          <w:szCs w:val="32"/>
        </w:rPr>
        <w:t>落实就业援助措施，加大对就业困难群体的就业兜底，提供公益类岗位和职业技能培训服务，确保零就业家庭动态清零。组织优质企业开展就业创业指导讲座，引导返乡大学生及应届毕业生融入本地产业。</w:t>
      </w:r>
    </w:p>
    <w:p>
      <w:pPr>
        <w:rPr>
          <w:szCs w:val="32"/>
        </w:rPr>
      </w:pPr>
      <w:bookmarkEnd w:id="369"/>
      <w:r>
        <w:rPr>
          <w:rFonts w:eastAsia="楷体_GB2312" w:hint="eastAsia"/>
          <w:b/>
          <w:szCs w:val="32"/>
        </w:rPr>
        <w:t>建设高效就业服务体系。</w:t>
      </w:r>
      <w:r>
        <w:rPr>
          <w:rFonts w:hint="eastAsia"/>
          <w:szCs w:val="32"/>
        </w:rPr>
        <w:t>支持新就业形态发展，健全灵活就业人员权益保障，促进高质量充分就业。完善就业支持体系，聚焦高校毕业生、农村转移劳动力、城镇低收入人员、退役军人及残疾人等重点群体就业。优化就业援助机制，开发公益性岗位，创设辅助性就业机构，提升就业容纳能力，引导农村劳动力向城镇旅游业、服务业有序转移。完善创业扶持政策，提供创业培训与融资支持。加大欠薪治理工作力度，建立公平竞争就业环境，提升就业机会均等化水平。健全高效公共就业服务体系，加快建设基层就业创业公共服务平台，提升就业服务数字化、智能化水平。</w:t>
      </w:r>
    </w:p>
    <w:p>
      <w:pPr>
        <w:rPr>
          <w:szCs w:val="32"/>
        </w:rPr>
      </w:pPr>
      <w:r>
        <w:rPr>
          <w:rFonts w:eastAsia="楷体_GB2312" w:hint="eastAsia"/>
          <w:b/>
          <w:szCs w:val="32"/>
        </w:rPr>
        <w:t>健全帮扶与分配机制。</w:t>
      </w:r>
      <w:r>
        <w:rPr>
          <w:rFonts w:hint="eastAsia"/>
          <w:szCs w:val="32"/>
        </w:rPr>
        <w:t>健全农村低收入人口常态化帮扶机制，加大定点帮扶力度，拓宽可持续就业路径。全面推进帮扶产业项目</w:t>
      </w:r>
      <w:r>
        <w:rPr>
          <w:szCs w:val="32"/>
        </w:rPr>
        <w:t>“</w:t>
      </w:r>
      <w:r>
        <w:rPr>
          <w:rFonts w:hint="eastAsia"/>
          <w:szCs w:val="32"/>
        </w:rPr>
        <w:t>四个一批</w:t>
      </w:r>
      <w:r>
        <w:rPr>
          <w:szCs w:val="32"/>
        </w:rPr>
        <w:t>”</w:t>
      </w:r>
      <w:r>
        <w:rPr>
          <w:rFonts w:hint="eastAsia"/>
          <w:szCs w:val="32"/>
        </w:rPr>
        <w:t>分类发展试点工作，全力构建结构优化、带动力强、效益可持续的帮扶产业体系，促进广大农牧民共享发展成果。发展壮大村集体经济，优化新型经营主体管理，参照现代企业制度，完善保底分红、入股参股等利益分配机制，增强集体经济能力。健全涉农资产长效管理机制，规范补贴资金使用，确保资产保值增值。</w:t>
      </w:r>
    </w:p>
    <w:p>
      <w:pPr>
        <w:pStyle w:val="2"/>
        <w:spacing w:after="190" w:line="576" w:lineRule="exact"/>
      </w:pPr>
      <w:bookmarkStart w:id="370" w:name="_Toc218406265"/>
      <w:bookmarkStart w:id="371" w:name="_Toc223858447"/>
      <w:bookmarkStart w:id="372" w:name="_Toc218406266"/>
      <w:r>
        <w:rPr>
          <w:rFonts w:hint="eastAsia"/>
        </w:rPr>
        <w:t>第二节</w:t>
      </w:r>
      <w:r>
        <w:t xml:space="preserve"> </w:t>
      </w:r>
      <w:r>
        <w:rPr>
          <w:rFonts w:hint="eastAsia"/>
        </w:rPr>
        <w:t>推动教育体育事业发展</w:t>
      </w:r>
      <w:bookmarkEnd w:id="370"/>
      <w:bookmarkEnd w:id="371"/>
    </w:p>
    <w:p>
      <w:pPr>
        <w:adjustRightInd w:val="0"/>
        <w:snapToGrid w:val="0"/>
        <w:rPr>
          <w:szCs w:val="32"/>
        </w:rPr>
      </w:pPr>
      <w:r>
        <w:rPr>
          <w:rFonts w:eastAsia="楷体_GB2312" w:hint="eastAsia"/>
          <w:b/>
          <w:szCs w:val="32"/>
        </w:rPr>
        <w:t>推进学校硬件升级改造。</w:t>
      </w:r>
      <w:r>
        <w:rPr>
          <w:rFonts w:hint="eastAsia"/>
          <w:b/>
          <w:bCs/>
          <w:szCs w:val="32"/>
        </w:rPr>
        <w:t>持续完善教学基础设施。</w:t>
      </w:r>
      <w:r>
        <w:rPr>
          <w:rFonts w:hint="eastAsia"/>
          <w:szCs w:val="32"/>
        </w:rPr>
        <w:t>实施教学楼及师生宿舍危房拆除工程，建设适用的教学楼，切实保障学生和教师基本生活水平。重点推进扎木镇、松宗镇、康玉乡、玉许乡等乡镇多所幼儿园，波密第二小学（二期）项目建设。积极探索建设县高级</w:t>
      </w:r>
      <w:r>
        <w:rPr>
          <w:szCs w:val="32"/>
        </w:rPr>
        <w:t>中学</w:t>
      </w:r>
      <w:r>
        <w:rPr>
          <w:rFonts w:hint="eastAsia"/>
          <w:szCs w:val="32"/>
        </w:rPr>
        <w:t>，满足本地群众上学需求。</w:t>
      </w:r>
      <w:r>
        <w:rPr>
          <w:rFonts w:hint="eastAsia"/>
          <w:b/>
          <w:bCs/>
          <w:szCs w:val="32"/>
        </w:rPr>
        <w:t>及时补充专业教学设施设备。</w:t>
      </w:r>
      <w:r>
        <w:rPr>
          <w:rFonts w:hint="eastAsia"/>
          <w:szCs w:val="32"/>
        </w:rPr>
        <w:t>调整课室结构，参照内地标准建立物理、化学实验室，计算机、音乐、舞蹈教室等专业教室。加快老化供水线路改造，改造八盖乡风雨操场，建设波密县学校三包物资标准化仓库，采购教学仪器设备，提升学校物资保障水平。</w:t>
      </w:r>
    </w:p>
    <w:p>
      <w:pPr>
        <w:adjustRightInd w:val="0"/>
        <w:snapToGrid w:val="0"/>
        <w:rPr>
          <w:szCs w:val="32"/>
        </w:rPr>
      </w:pPr>
      <w:r>
        <w:rPr>
          <w:rFonts w:eastAsia="楷体_GB2312" w:hint="eastAsia"/>
          <w:b/>
          <w:szCs w:val="32"/>
        </w:rPr>
        <w:t>深化教育教学改革。</w:t>
      </w:r>
      <w:r>
        <w:rPr>
          <w:rFonts w:hint="eastAsia"/>
          <w:szCs w:val="32"/>
        </w:rPr>
        <w:t>巩固县域幼儿教育普及普惠成果，落实基础教育扩优提质工程，以推进数字化校园转型为抓手，强化乡村数字教育资源统筹供给，推动基础教育高质量发展。</w:t>
      </w:r>
    </w:p>
    <w:p>
      <w:pPr>
        <w:adjustRightInd w:val="0"/>
        <w:snapToGrid w:val="0"/>
        <w:rPr>
          <w:szCs w:val="32"/>
        </w:rPr>
      </w:pPr>
      <w:r>
        <w:rPr>
          <w:rFonts w:eastAsia="楷体_GB2312" w:hint="eastAsia"/>
          <w:b/>
          <w:szCs w:val="32"/>
        </w:rPr>
        <w:t>加强师资队伍建设。</w:t>
      </w:r>
      <w:r>
        <w:rPr>
          <w:rFonts w:hint="eastAsia"/>
          <w:szCs w:val="32"/>
        </w:rPr>
        <w:t>以优质均衡创建工作为契机，结合学校布局及教育发展需求，动态调整学校编制，确保编制资源向偏远薄弱学校倾斜。均衡配置教师资源，完善县乡学校共同体建设。借助广东援藏平台，深化教、研、培合作。紧密结合“</w:t>
      </w:r>
      <w:bookmarkStart w:id="373" w:name="OLE_LINK4"/>
      <w:r>
        <w:rPr>
          <w:rFonts w:hint="eastAsia"/>
          <w:szCs w:val="32"/>
        </w:rPr>
        <w:t>一考三评</w:t>
      </w:r>
      <w:bookmarkEnd w:id="373"/>
      <w:r>
        <w:rPr>
          <w:rFonts w:hint="eastAsia"/>
          <w:szCs w:val="32"/>
        </w:rPr>
        <w:t>”等工作，建立完善中小学幼儿园教师评价体系，突出师德师风在评价体系中的重要地位，构建科学合理、多元全面的教师评价体系。</w:t>
      </w:r>
    </w:p>
    <w:p>
      <w:pPr>
        <w:rPr>
          <w:bCs/>
          <w:szCs w:val="32"/>
        </w:rPr>
      </w:pPr>
      <w:r>
        <w:rPr>
          <w:rFonts w:eastAsia="楷体_GB2312" w:hint="eastAsia"/>
          <w:b/>
          <w:szCs w:val="32"/>
        </w:rPr>
        <w:t>加强体育</w:t>
      </w:r>
      <w:r>
        <w:rPr>
          <w:rFonts w:eastAsia="楷体_GB2312"/>
          <w:b/>
          <w:szCs w:val="32"/>
        </w:rPr>
        <w:t>设施建设。</w:t>
      </w:r>
      <w:r>
        <w:rPr>
          <w:szCs w:val="32"/>
        </w:rPr>
        <w:t>重点建设波密县综合体育馆，</w:t>
      </w:r>
      <w:r>
        <w:rPr>
          <w:bCs/>
          <w:szCs w:val="32"/>
        </w:rPr>
        <w:t>加快</w:t>
      </w:r>
      <w:r>
        <w:rPr>
          <w:rFonts w:hint="eastAsia"/>
          <w:bCs/>
          <w:szCs w:val="32"/>
        </w:rPr>
        <w:t>补齐各</w:t>
      </w:r>
      <w:r>
        <w:rPr>
          <w:bCs/>
          <w:szCs w:val="32"/>
        </w:rPr>
        <w:t>乡镇全民健身场地器材，</w:t>
      </w:r>
      <w:r>
        <w:rPr>
          <w:rFonts w:hint="eastAsia"/>
          <w:bCs/>
          <w:szCs w:val="32"/>
        </w:rPr>
        <w:t>推进</w:t>
      </w:r>
      <w:r>
        <w:rPr>
          <w:bCs/>
          <w:szCs w:val="32"/>
        </w:rPr>
        <w:t>松宗镇赛马场建设项目，</w:t>
      </w:r>
      <w:r>
        <w:rPr>
          <w:rFonts w:hint="eastAsia"/>
          <w:bCs/>
          <w:szCs w:val="32"/>
        </w:rPr>
        <w:t>八</w:t>
      </w:r>
      <w:r>
        <w:rPr>
          <w:bCs/>
          <w:szCs w:val="32"/>
        </w:rPr>
        <w:t>盖乡、扎木镇、古乡多功能运动场建设</w:t>
      </w:r>
      <w:r>
        <w:rPr>
          <w:rFonts w:hint="eastAsia"/>
          <w:bCs/>
          <w:szCs w:val="32"/>
        </w:rPr>
        <w:t>等</w:t>
      </w:r>
      <w:r>
        <w:rPr>
          <w:bCs/>
          <w:szCs w:val="32"/>
        </w:rPr>
        <w:t>项目，满足多样化赛事场馆需求，助推全民健身事业高质量发展</w:t>
      </w:r>
      <w:r>
        <w:rPr>
          <w:rFonts w:hint="eastAsia"/>
          <w:bCs/>
          <w:szCs w:val="32"/>
        </w:rPr>
        <w:t>。</w:t>
      </w:r>
    </w:p>
    <w:p>
      <w:pPr>
        <w:rPr>
          <w:szCs w:val="32"/>
        </w:rPr>
      </w:pPr>
      <w:r>
        <w:rPr>
          <w:rFonts w:eastAsia="楷体_GB2312" w:hint="eastAsia"/>
          <w:b/>
          <w:szCs w:val="32"/>
        </w:rPr>
        <w:t>推广高原体育活动。</w:t>
      </w:r>
      <w:r>
        <w:rPr>
          <w:rFonts w:hint="eastAsia"/>
          <w:szCs w:val="32"/>
        </w:rPr>
        <w:t>以易贡乡为重点，创新</w:t>
      </w:r>
      <w:r>
        <w:rPr>
          <w:szCs w:val="32"/>
        </w:rPr>
        <w:t>“</w:t>
      </w:r>
      <w:r>
        <w:rPr>
          <w:rFonts w:hint="eastAsia"/>
          <w:szCs w:val="32"/>
        </w:rPr>
        <w:t>运动</w:t>
      </w:r>
      <w:r>
        <w:rPr>
          <w:szCs w:val="32"/>
        </w:rPr>
        <w:t>+</w:t>
      </w:r>
      <w:r>
        <w:rPr>
          <w:rFonts w:hint="eastAsia"/>
          <w:szCs w:val="32"/>
        </w:rPr>
        <w:t>旅游</w:t>
      </w:r>
      <w:r>
        <w:rPr>
          <w:szCs w:val="32"/>
        </w:rPr>
        <w:t>”</w:t>
      </w:r>
      <w:r>
        <w:rPr>
          <w:rFonts w:hint="eastAsia"/>
          <w:szCs w:val="32"/>
        </w:rPr>
        <w:t>，差异化打造多主题运动旅游产品，开发度假观光主题体旅融合路线，开发游客体验项目，开展体育研学、运动体验等活动。依托易贡高海拔训练基地，打造易贡高原体育康养小镇，完善运动主题民宿、公园、商业等服务设施供给，按照国际一流标准开发易贡环湖马拉松赛道，合理规划赛道线路，配套建设运动员驿站、赛事纪念品商店等服务设施。扎实做好赛事经济，</w:t>
      </w:r>
      <w:r>
        <w:rPr>
          <w:rFonts w:hint="eastAsia"/>
          <w:bCs/>
          <w:szCs w:val="32"/>
        </w:rPr>
        <w:t>依托易贡环湖赛道，打造马拉松、自行车、徒步等国内外知名赛事，持续推动波密</w:t>
      </w:r>
      <w:r>
        <w:rPr>
          <w:bCs/>
          <w:szCs w:val="32"/>
        </w:rPr>
        <w:t>“</w:t>
      </w:r>
      <w:r>
        <w:rPr>
          <w:rFonts w:hint="eastAsia"/>
          <w:bCs/>
          <w:szCs w:val="32"/>
        </w:rPr>
        <w:t>冰川杯</w:t>
      </w:r>
      <w:r>
        <w:rPr>
          <w:bCs/>
          <w:szCs w:val="32"/>
        </w:rPr>
        <w:t>”</w:t>
      </w:r>
      <w:r>
        <w:rPr>
          <w:rFonts w:hint="eastAsia"/>
          <w:bCs/>
          <w:szCs w:val="32"/>
        </w:rPr>
        <w:t>等赛事品牌建设。</w:t>
      </w:r>
    </w:p>
    <w:tbl>
      <w:tblPr>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8296"/>
      </w:tblGrid>
      <w:tr>
        <w:trPr>
          <w:trHeight w:val="339"/>
        </w:trPr>
        <w:tc>
          <w:tcPr>
            <w:tcW w:w="8296" w:type="dxa"/>
            <w:shd w:val="clear" w:color="auto" w:fill="C6D9F1"/>
          </w:tcPr>
          <w:p>
            <w:pPr>
              <w:adjustRightInd w:val="0"/>
              <w:snapToGrid w:val="0"/>
              <w:spacing w:line="240" w:lineRule="auto"/>
              <w:ind w:firstLineChars="0" w:firstLine="0"/>
              <w:jc w:val="center"/>
              <w:rPr>
                <w:rFonts w:eastAsia="宋体"/>
                <w:b/>
                <w:bCs/>
                <w:kern w:val="0"/>
                <w:sz w:val="18"/>
                <w:szCs w:val="18"/>
              </w:rPr>
            </w:pPr>
            <w:r>
              <w:rPr>
                <w:rFonts w:ascii="方正楷体_GBK" w:eastAsia="方正楷体_GBK" w:hint="eastAsia"/>
                <w:sz w:val="18"/>
                <w:szCs w:val="18"/>
              </w:rPr>
              <w:t>专栏16    推动教育体育事业发展</w:t>
            </w:r>
          </w:p>
        </w:tc>
      </w:tr>
      <w:tr>
        <w:tc>
          <w:tcPr>
            <w:tcW w:w="8296" w:type="dxa"/>
            <w:shd w:val="clear" w:color="auto" w:fill="CCECFF"/>
          </w:tcPr>
          <w:p>
            <w:pPr>
              <w:spacing w:line="240" w:lineRule="auto"/>
              <w:rPr>
                <w:rFonts w:eastAsia="方正楷体_GBK"/>
                <w:sz w:val="18"/>
                <w:szCs w:val="18"/>
              </w:rPr>
            </w:pPr>
            <w:r>
              <w:rPr>
                <w:rFonts w:eastAsia="方正楷体_GBK"/>
                <w:sz w:val="18"/>
                <w:szCs w:val="18"/>
              </w:rPr>
              <w:t xml:space="preserve">01 </w:t>
            </w:r>
            <w:r>
              <w:rPr>
                <w:rFonts w:eastAsia="方正楷体_GBK" w:hint="eastAsia"/>
                <w:sz w:val="18"/>
                <w:szCs w:val="18"/>
              </w:rPr>
              <w:t>推进学校硬件升级改造</w:t>
            </w:r>
          </w:p>
          <w:p>
            <w:pPr>
              <w:spacing w:line="240" w:lineRule="auto"/>
              <w:rPr>
                <w:rFonts w:eastAsia="方正仿宋_GBK"/>
                <w:sz w:val="18"/>
                <w:szCs w:val="18"/>
              </w:rPr>
            </w:pPr>
            <w:r>
              <w:rPr>
                <w:rFonts w:eastAsia="方正仿宋_GBK" w:hint="eastAsia"/>
                <w:sz w:val="18"/>
                <w:szCs w:val="18"/>
              </w:rPr>
              <w:t>实施扎木镇、松宗镇、康玉乡、玉许乡多所幼儿园建设项目，波密县中学校园提升项目，波密县完全小学提升项目，波密县第一幼儿园、第二幼儿园校园提升项目，波密县第二小学建设项目（二期），倾多镇小学教学楼建设项目，八盖乡中心小学风雨操场改造项目，波密县校车采购项目，波密县三包物资标准化仓库改扩建项目，波密县教学仪器设备采购项目。</w:t>
            </w:r>
          </w:p>
          <w:p>
            <w:pPr>
              <w:spacing w:line="240" w:lineRule="auto"/>
              <w:rPr>
                <w:rFonts w:eastAsia="方正楷体_GBK"/>
                <w:sz w:val="18"/>
                <w:szCs w:val="18"/>
              </w:rPr>
            </w:pPr>
            <w:r>
              <w:rPr>
                <w:rFonts w:eastAsia="方正楷体_GBK"/>
                <w:sz w:val="18"/>
                <w:szCs w:val="18"/>
              </w:rPr>
              <w:t>02</w:t>
            </w:r>
            <w:r>
              <w:rPr>
                <w:rFonts w:eastAsia="方正楷体_GBK" w:hint="eastAsia"/>
                <w:sz w:val="18"/>
                <w:szCs w:val="18"/>
              </w:rPr>
              <w:t>加强体育设施建设</w:t>
            </w:r>
          </w:p>
          <w:p>
            <w:pPr>
              <w:spacing w:line="240" w:lineRule="auto"/>
              <w:rPr>
                <w:rFonts w:eastAsia="宋体"/>
                <w:kern w:val="0"/>
                <w:sz w:val="18"/>
                <w:szCs w:val="18"/>
              </w:rPr>
            </w:pPr>
            <w:r>
              <w:rPr>
                <w:rFonts w:eastAsia="方正仿宋_GBK" w:hint="eastAsia"/>
                <w:sz w:val="18"/>
                <w:szCs w:val="18"/>
              </w:rPr>
              <w:t>推进全民健身综合体育馆建设项目，林芝市波密县松宗赛马场建设项目，八盖乡、扎木镇、古乡多功能运动场建设项目，波密县游泳馆等项目。</w:t>
            </w:r>
          </w:p>
        </w:tc>
      </w:tr>
    </w:tbl>
    <w:p>
      <w:pPr>
        <w:pStyle w:val="2"/>
        <w:spacing w:after="190" w:line="576" w:lineRule="exact"/>
      </w:pPr>
      <w:bookmarkStart w:id="374" w:name="_Toc223858448"/>
      <w:r>
        <w:rPr>
          <w:rFonts w:hint="eastAsia"/>
        </w:rPr>
        <w:t>第三节</w:t>
      </w:r>
      <w:r>
        <w:t xml:space="preserve"> </w:t>
      </w:r>
      <w:r>
        <w:rPr>
          <w:rFonts w:hint="eastAsia"/>
        </w:rPr>
        <w:t>推进健康波密建设</w:t>
      </w:r>
      <w:bookmarkEnd w:id="372"/>
      <w:bookmarkEnd w:id="374"/>
    </w:p>
    <w:p>
      <w:pPr>
        <w:rPr>
          <w:bCs/>
          <w:szCs w:val="32"/>
        </w:rPr>
      </w:pPr>
      <w:r>
        <w:rPr>
          <w:rFonts w:eastAsia="楷体_GB2312" w:hint="eastAsia"/>
          <w:b/>
          <w:bCs/>
          <w:szCs w:val="32"/>
        </w:rPr>
        <w:t>推进医疗配套服务设施提质。</w:t>
      </w:r>
      <w:r>
        <w:rPr>
          <w:rFonts w:hint="eastAsia"/>
          <w:bCs/>
          <w:szCs w:val="32"/>
        </w:rPr>
        <w:t>开展基层卫生院提档扩能，实现村级卫生室全覆盖，提升偏远乡村卫生室医疗条件。推进波密县疾控中心建设，开展波密县人民医院提标扩能改造，推进医疗实验设备</w:t>
      </w:r>
      <w:r>
        <w:rPr>
          <w:rFonts w:ascii="仿宋_GB2312" w:cs="微软雅黑" w:hAnsi="微软雅黑" w:hint="eastAsia"/>
          <w:bCs/>
          <w:szCs w:val="32"/>
        </w:rPr>
        <w:t>等配套设施</w:t>
      </w:r>
      <w:r>
        <w:rPr>
          <w:rFonts w:hint="eastAsia"/>
          <w:bCs/>
          <w:szCs w:val="32"/>
        </w:rPr>
        <w:t xml:space="preserve">建设，改善医疗科研条件。 </w:t>
      </w:r>
    </w:p>
    <w:p>
      <w:pPr>
        <w:rPr>
          <w:szCs w:val="32"/>
        </w:rPr>
      </w:pPr>
      <w:r>
        <w:rPr>
          <w:rFonts w:eastAsia="楷体_GB2312" w:hint="eastAsia"/>
          <w:b/>
          <w:szCs w:val="32"/>
        </w:rPr>
        <w:t>巩固完善紧密型医共体建设</w:t>
      </w:r>
      <w:r>
        <w:rPr>
          <w:rFonts w:eastAsia="楷体_GB2312" w:hint="eastAsia"/>
          <w:b/>
          <w:bCs/>
          <w:szCs w:val="32"/>
        </w:rPr>
        <w:t>。</w:t>
      </w:r>
      <w:r>
        <w:rPr>
          <w:rFonts w:hint="eastAsia"/>
          <w:b/>
          <w:bCs/>
          <w:szCs w:val="32"/>
        </w:rPr>
        <w:t>推进医疗体系完善。</w:t>
      </w:r>
      <w:r>
        <w:rPr>
          <w:rFonts w:hint="eastAsia"/>
          <w:szCs w:val="32"/>
        </w:rPr>
        <w:t>建立紧密型医疗共同体管理架构，整合县域各级医疗机构，打破行政壁垒，实现医疗</w:t>
      </w:r>
      <w:r>
        <w:rPr>
          <w:szCs w:val="32"/>
        </w:rPr>
        <w:t>相关的</w:t>
      </w:r>
      <w:r>
        <w:rPr>
          <w:rFonts w:hint="eastAsia"/>
          <w:szCs w:val="32"/>
        </w:rPr>
        <w:t>人、财、物的统一调配与管理，促进基本公共卫生均等化。</w:t>
      </w:r>
      <w:r>
        <w:rPr>
          <w:rFonts w:hint="eastAsia"/>
          <w:b/>
          <w:bCs/>
          <w:szCs w:val="32"/>
        </w:rPr>
        <w:t>提升医疗资源利用效率。</w:t>
      </w:r>
      <w:r>
        <w:rPr>
          <w:rFonts w:hint="eastAsia"/>
          <w:szCs w:val="32"/>
        </w:rPr>
        <w:t>建立分级诊疗制度，明确牵头医院与基层医疗卫生机构的功能定位，构建顺畅的分级诊疗和双向转诊机制。</w:t>
      </w:r>
      <w:r>
        <w:rPr>
          <w:rFonts w:hint="eastAsia"/>
          <w:b/>
          <w:bCs/>
          <w:szCs w:val="32"/>
        </w:rPr>
        <w:t>促进医疗信息互通。</w:t>
      </w:r>
      <w:r>
        <w:rPr>
          <w:rFonts w:hint="eastAsia"/>
          <w:szCs w:val="32"/>
        </w:rPr>
        <w:t>完善县人民医院、波密县疾控中心以及各乡镇医共体信息化建设。促进县乡村信息互联，建立统一高效的医保、医疗、医药政策协同、信息联通、监管联动机制。</w:t>
      </w:r>
    </w:p>
    <w:p>
      <w:pPr>
        <w:rPr>
          <w:szCs w:val="32"/>
        </w:rPr>
      </w:pPr>
      <w:r>
        <w:rPr>
          <w:rFonts w:eastAsia="楷体_GB2312" w:hint="eastAsia"/>
          <w:b/>
          <w:szCs w:val="32"/>
        </w:rPr>
        <w:t>提升医疗人才质量和水平。</w:t>
      </w:r>
      <w:r>
        <w:rPr>
          <w:rFonts w:hint="eastAsia"/>
          <w:b/>
          <w:bCs/>
          <w:szCs w:val="32"/>
        </w:rPr>
        <w:t>发挥援藏技术人才优势。</w:t>
      </w:r>
      <w:r>
        <w:rPr>
          <w:rFonts w:hint="eastAsia"/>
          <w:szCs w:val="32"/>
        </w:rPr>
        <w:t>借助“组团式”医疗援藏平台，充分发挥援藏医疗专家的技术优势与管理经验。组织援藏专家定期开展坐诊、查房、手术示教等活动，引入先进的诊疗技术与规范的操作流程。</w:t>
      </w:r>
      <w:r>
        <w:rPr>
          <w:rFonts w:hint="eastAsia"/>
          <w:b/>
          <w:bCs/>
          <w:szCs w:val="32"/>
        </w:rPr>
        <w:t>提升本地骨干水平。</w:t>
      </w:r>
      <w:r>
        <w:rPr>
          <w:rFonts w:hint="eastAsia"/>
          <w:szCs w:val="32"/>
        </w:rPr>
        <w:t>开展“一对一”师徒带教，培养本地医疗骨干，提升整体医疗技术水平。加强与广州市对口援藏资源对接，强化紧缺卫技人才引进和培养。引入内地培养疾控预防、检验检疫人才，提升传染病防控能力。</w:t>
      </w:r>
    </w:p>
    <w:p>
      <w:pPr>
        <w:rPr>
          <w:szCs w:val="32"/>
        </w:rPr>
      </w:pPr>
      <w:r>
        <w:rPr>
          <w:rFonts w:eastAsia="楷体_GB2312" w:hint="eastAsia"/>
          <w:b/>
          <w:bCs/>
          <w:szCs w:val="32"/>
        </w:rPr>
        <w:t>健全医疗服务机制。</w:t>
      </w:r>
      <w:r>
        <w:rPr>
          <w:rFonts w:hint="eastAsia"/>
          <w:szCs w:val="32"/>
        </w:rPr>
        <w:t>推进远程会诊系统谋划与建设，实现乡村与县城、县城与内地优质医疗机构的实时会诊，全面提高县域医疗服务质量和水平。</w:t>
      </w:r>
      <w:r>
        <w:rPr>
          <w:rFonts w:hint="eastAsia"/>
          <w:bCs/>
          <w:szCs w:val="32"/>
        </w:rPr>
        <w:t>完善藏医药传承创新发展机制，健全藏医药服务体系，</w:t>
      </w:r>
      <w:r>
        <w:rPr>
          <w:rFonts w:hint="eastAsia"/>
          <w:szCs w:val="32"/>
        </w:rPr>
        <w:t>依托高原天然低氧低压环境和藏医药宝库珍贵资源，发展藏药养生和健康管理产业</w:t>
      </w:r>
      <w:r>
        <w:rPr>
          <w:rFonts w:hint="eastAsia"/>
          <w:bCs/>
          <w:szCs w:val="32"/>
        </w:rPr>
        <w:t>。围绕国省道沿线，建</w:t>
      </w:r>
      <w:r>
        <w:rPr>
          <w:rFonts w:hint="eastAsia"/>
          <w:szCs w:val="32"/>
        </w:rPr>
        <w:t>设高原急救中心，提升高原供氧能力。联合卫健委、应急、交通等主管部门，研究建立有效高原抢救机制，及时治疗内地游客突发疾病。设置校医制度，为中小学校学生及教师提供健康卫生安全保障。探索建设县级精神类医院，提升县精神疾病治疗服务水平。推行“一老一小”医疗保障服务，保障医保基金使用效率，引导医疗机构规范诊疗行为。</w:t>
      </w:r>
    </w:p>
    <w:tbl>
      <w:tblPr>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8296"/>
      </w:tblGrid>
      <w:tr>
        <w:tc>
          <w:tcPr>
            <w:tcW w:w="8296" w:type="dxa"/>
            <w:shd w:val="clear" w:color="auto" w:fill="C6D9F1"/>
          </w:tcPr>
          <w:p>
            <w:pPr>
              <w:spacing w:line="240" w:lineRule="auto"/>
              <w:ind w:firstLineChars="0" w:firstLine="0"/>
              <w:jc w:val="center"/>
              <w:rPr>
                <w:rFonts w:eastAsia="宋体"/>
                <w:b/>
                <w:bCs/>
                <w:kern w:val="0"/>
                <w:sz w:val="18"/>
                <w:szCs w:val="18"/>
              </w:rPr>
            </w:pPr>
            <w:r>
              <w:rPr>
                <w:rFonts w:ascii="方正楷体_GBK" w:eastAsia="方正楷体_GBK" w:hint="eastAsia"/>
                <w:sz w:val="18"/>
                <w:szCs w:val="18"/>
              </w:rPr>
              <w:t>专栏17   推进健康波密建设</w:t>
            </w:r>
          </w:p>
        </w:tc>
      </w:tr>
      <w:tr>
        <w:tc>
          <w:tcPr>
            <w:tcW w:w="8296" w:type="dxa"/>
            <w:shd w:val="clear" w:color="auto" w:fill="CCECFF"/>
          </w:tcPr>
          <w:p>
            <w:pPr>
              <w:spacing w:line="240" w:lineRule="auto"/>
              <w:rPr>
                <w:rFonts w:eastAsia="方正楷体_GBK"/>
                <w:sz w:val="18"/>
                <w:szCs w:val="18"/>
              </w:rPr>
            </w:pPr>
            <w:r>
              <w:rPr>
                <w:rFonts w:eastAsia="方正楷体_GBK" w:hint="eastAsia"/>
                <w:sz w:val="18"/>
                <w:szCs w:val="18"/>
              </w:rPr>
              <w:t>01推进医疗配套服务设施提质</w:t>
            </w:r>
          </w:p>
          <w:p>
            <w:pPr>
              <w:spacing w:line="240" w:lineRule="auto"/>
              <w:rPr>
                <w:rFonts w:eastAsia="方正仿宋_GBK"/>
                <w:sz w:val="18"/>
                <w:szCs w:val="18"/>
              </w:rPr>
            </w:pPr>
            <w:r>
              <w:rPr>
                <w:rFonts w:eastAsia="方正仿宋_GBK" w:hint="eastAsia"/>
                <w:sz w:val="18"/>
                <w:szCs w:val="18"/>
              </w:rPr>
              <w:t>实施波密县人民医院提标扩能建设项目，新建波密县疾控中心，实施波密县人民医院第二院区医技楼建设项目，开展松宗镇、玉普乡卫生院提标扩能建设、康玉乡拉瓦西村村医室建设项目等。</w:t>
            </w:r>
          </w:p>
        </w:tc>
      </w:tr>
      <w:tr>
        <w:tc>
          <w:tcPr>
            <w:tcW w:w="8296" w:type="dxa"/>
            <w:shd w:val="clear" w:color="auto" w:fill="CCECFF"/>
          </w:tcPr>
          <w:p>
            <w:pPr>
              <w:spacing w:line="240" w:lineRule="auto"/>
              <w:rPr>
                <w:rFonts w:eastAsia="方正楷体_GBK"/>
                <w:sz w:val="18"/>
                <w:szCs w:val="18"/>
              </w:rPr>
            </w:pPr>
            <w:r>
              <w:rPr>
                <w:rFonts w:eastAsia="方正楷体_GBK" w:hint="eastAsia"/>
                <w:sz w:val="18"/>
                <w:szCs w:val="18"/>
              </w:rPr>
              <w:t>02巩固完善紧密型医共体建设</w:t>
            </w:r>
          </w:p>
          <w:p>
            <w:pPr>
              <w:spacing w:line="240" w:lineRule="auto"/>
              <w:rPr>
                <w:rFonts w:eastAsia="宋体"/>
                <w:kern w:val="0"/>
                <w:sz w:val="18"/>
                <w:szCs w:val="18"/>
              </w:rPr>
            </w:pPr>
            <w:r>
              <w:rPr>
                <w:rFonts w:eastAsia="方正仿宋_GBK" w:hint="eastAsia"/>
                <w:sz w:val="18"/>
                <w:szCs w:val="18"/>
              </w:rPr>
              <w:t>实施波密县县域医共体信息化建设项目、卫健系统县乡互联建设项目等。</w:t>
            </w:r>
          </w:p>
        </w:tc>
      </w:tr>
    </w:tbl>
    <w:p>
      <w:pPr>
        <w:pStyle w:val="2"/>
        <w:spacing w:after="190" w:line="576" w:lineRule="exact"/>
      </w:pPr>
      <w:bookmarkStart w:id="375" w:name="_Toc218406267"/>
      <w:bookmarkStart w:id="376" w:name="_Toc223858449"/>
      <w:r>
        <w:rPr>
          <w:rFonts w:hint="eastAsia"/>
        </w:rPr>
        <w:t>第四节</w:t>
      </w:r>
      <w:r>
        <w:t xml:space="preserve"> </w:t>
      </w:r>
      <w:r>
        <w:rPr>
          <w:rFonts w:hint="eastAsia"/>
        </w:rPr>
        <w:t>推动人口可持续发展</w:t>
      </w:r>
      <w:bookmarkEnd w:id="375"/>
      <w:bookmarkEnd w:id="376"/>
    </w:p>
    <w:p>
      <w:r>
        <w:rPr>
          <w:rFonts w:hint="eastAsia"/>
          <w:szCs w:val="32"/>
        </w:rPr>
        <w:t>健全人口服务体系，健全覆盖全民、贯穿全生命周期的人口服务体系，完善县域人口统计和动态监测体系。落实生育保险、生育休假、生育补贴制度，完善县人民医院妇幼健康服务体系，依托县域实际布局普惠托育和托幼服务，完善城乡社区儿童服务设施，打造适配县情的婚育友好型社会、老龄友好型社区。优化生育支持政策体系，协同卫健、教育、住建等部门，完善普惠托育服务供给，扩大</w:t>
      </w:r>
      <w:r>
        <w:rPr>
          <w:szCs w:val="32"/>
        </w:rPr>
        <w:t>0</w:t>
      </w:r>
      <w:r>
        <w:rPr>
          <w:rFonts w:hint="eastAsia"/>
          <w:szCs w:val="32"/>
        </w:rPr>
        <w:t>-</w:t>
      </w:r>
      <w:r>
        <w:rPr>
          <w:szCs w:val="32"/>
        </w:rPr>
        <w:t>3</w:t>
      </w:r>
      <w:r>
        <w:rPr>
          <w:rFonts w:hint="eastAsia"/>
          <w:szCs w:val="32"/>
        </w:rPr>
        <w:t>岁婴幼儿照护服务覆盖范围，落实育儿补贴、住房保障等配套措施，切实降低家庭生育、养育、教育成本。积极应对人口老龄化趋势，推动银发经济与本地特色产业融合发展。</w:t>
      </w:r>
      <w:bookmarkStart w:id="377" w:name="OLE_LINK156"/>
    </w:p>
    <w:p>
      <w:pPr>
        <w:pStyle w:val="2"/>
        <w:spacing w:after="190" w:line="576" w:lineRule="exact"/>
      </w:pPr>
      <w:bookmarkStart w:id="378" w:name="_Toc218406268"/>
      <w:bookmarkStart w:id="379" w:name="_Toc223858450"/>
      <w:bookmarkEnd w:id="377"/>
      <w:r>
        <w:rPr>
          <w:rFonts w:hint="eastAsia"/>
        </w:rPr>
        <w:t>第五节</w:t>
      </w:r>
      <w:r>
        <w:t xml:space="preserve"> </w:t>
      </w:r>
      <w:r>
        <w:rPr>
          <w:rFonts w:hint="eastAsia"/>
        </w:rPr>
        <w:t>健全多层次社会保障体系</w:t>
      </w:r>
      <w:bookmarkEnd w:id="378"/>
      <w:bookmarkEnd w:id="379"/>
    </w:p>
    <w:p>
      <w:pPr>
        <w:rPr>
          <w:szCs w:val="32"/>
        </w:rPr>
      </w:pPr>
      <w:bookmarkStart w:id="380" w:name="OLE_LINK56"/>
      <w:r>
        <w:rPr>
          <w:rFonts w:eastAsia="楷体_GB2312" w:hint="eastAsia"/>
          <w:b/>
          <w:szCs w:val="32"/>
        </w:rPr>
        <w:t>不断完善基本民生保障制度。</w:t>
      </w:r>
      <w:r>
        <w:rPr>
          <w:rFonts w:hint="eastAsia"/>
          <w:szCs w:val="32"/>
        </w:rPr>
        <w:t>推进职工基本养老保险由制度全覆盖向法定人群全覆盖转变。加大民生兜底，综合考虑物价上涨水平与困难群众实际生活需求，适时提高城乡低保、特困人员救助供养等保障标准，</w:t>
      </w:r>
      <w:r>
        <w:rPr>
          <w:szCs w:val="32"/>
        </w:rPr>
        <w:t>切实</w:t>
      </w:r>
      <w:r>
        <w:rPr>
          <w:rFonts w:hint="eastAsia"/>
          <w:szCs w:val="32"/>
        </w:rPr>
        <w:t>提高困难群众基本生活</w:t>
      </w:r>
      <w:r>
        <w:rPr>
          <w:szCs w:val="32"/>
        </w:rPr>
        <w:t>水平</w:t>
      </w:r>
      <w:r>
        <w:rPr>
          <w:rFonts w:hint="eastAsia"/>
          <w:szCs w:val="32"/>
        </w:rPr>
        <w:t>。加大对特殊困难群体的救助帮扶力度，对因灾、因病、因突发意外事件导致生活陷入困境的家庭给予临时救助，缓解其生活困难。</w:t>
      </w:r>
      <w:bookmarkStart w:id="381" w:name="OLE_LINK133"/>
      <w:r>
        <w:rPr>
          <w:rFonts w:hint="eastAsia"/>
        </w:rPr>
        <w:t>深入落实妇女儿童“两个规划”，为妇女儿童提供优质公平的健康、教育和社会保障。</w:t>
      </w:r>
    </w:p>
    <w:p>
      <w:pPr>
        <w:rPr>
          <w:b/>
          <w:szCs w:val="32"/>
        </w:rPr>
      </w:pPr>
      <w:bookmarkStart w:id="382" w:name="OLE_LINK58"/>
      <w:bookmarkEnd w:id="380"/>
      <w:bookmarkEnd w:id="381"/>
      <w:r>
        <w:rPr>
          <w:rFonts w:eastAsia="楷体_GB2312" w:hint="eastAsia"/>
          <w:b/>
          <w:szCs w:val="32"/>
        </w:rPr>
        <w:t>不断提高低收入群体服务水平。</w:t>
      </w:r>
      <w:r>
        <w:rPr>
          <w:rFonts w:hint="eastAsia"/>
          <w:szCs w:val="32"/>
        </w:rPr>
        <w:t>保障财政支出安排到位，争取实现资金规模动态增长。优化城乡低保制度，精准识别低收入家庭，确保应保尽保，及时足额发放低保金，切实保障基本生活开销。拓展救助资金来源渠道，加大慈善会宣传力度，鼓励企业、社会组织及爱心人士捐赠，针对低收入群体的突发困难给予额外资金支持。</w:t>
      </w:r>
      <w:bookmarkEnd w:id="382"/>
    </w:p>
    <w:p>
      <w:pPr>
        <w:rPr>
          <w:szCs w:val="32"/>
        </w:rPr>
      </w:pPr>
      <w:r>
        <w:rPr>
          <w:rFonts w:eastAsia="楷体_GB2312" w:hint="eastAsia"/>
          <w:b/>
          <w:szCs w:val="32"/>
        </w:rPr>
        <w:t>不断提高养老抚老服务。</w:t>
      </w:r>
      <w:r>
        <w:rPr>
          <w:rFonts w:hint="eastAsia"/>
          <w:szCs w:val="32"/>
        </w:rPr>
        <w:t>加快构建居家社区机构相协调、医养康养相结合的养老服务体系，织密县域城乡养老服务网络，结合乡镇分布特点优化养老服务资源配置，补齐城乡养老服务短板。加快农村幸福院建设，完善运营机制，重点实施偏远乡镇幸福院建设及运营项目。深挖县城老年人日间照料中心服务潜力，叠加嵌入式养老、助餐配送、康养娱乐、老年学堂等服务，提升养老服务质量。推进波密县居家养老政府购买服务项目，组织志愿者定期开展关爱活动，丰富农村老年人的精神文化生活。</w:t>
      </w:r>
    </w:p>
    <w:p>
      <w:pPr>
        <w:rPr>
          <w:szCs w:val="32"/>
        </w:rPr>
      </w:pPr>
      <w:r>
        <w:rPr>
          <w:rFonts w:eastAsia="楷体_GB2312" w:hint="eastAsia"/>
          <w:b/>
          <w:szCs w:val="32"/>
        </w:rPr>
        <w:t>不断满足特殊人群福利需求。</w:t>
      </w:r>
      <w:r>
        <w:rPr>
          <w:rFonts w:hint="eastAsia"/>
          <w:szCs w:val="32"/>
        </w:rPr>
        <w:t>加大资金投入，建设残疾人和退役军人福利设施，不断提高医保覆盖范围。健全退役军人和“三属”优抚保障体系，优化退役军人服务中心建设，巩固发展军政军民团结，与红色资源联合，帮助退役军人实现再就业。实施波密县助残政府购买服务项目，为残疾人提供专业的康复训练服务、生活照料及护理服务。</w:t>
      </w:r>
    </w:p>
    <w:p>
      <w:pPr>
        <w:rPr>
          <w:szCs w:val="32"/>
        </w:rPr>
      </w:pPr>
      <w:r>
        <w:rPr>
          <w:rFonts w:eastAsia="楷体_GB2312" w:hint="eastAsia"/>
          <w:b/>
          <w:szCs w:val="32"/>
        </w:rPr>
        <w:t>不断</w:t>
      </w:r>
      <w:r>
        <w:rPr>
          <w:rFonts w:eastAsia="楷体_GB2312"/>
          <w:b/>
          <w:szCs w:val="32"/>
        </w:rPr>
        <w:t>完善多层次住房保障体系。</w:t>
      </w:r>
      <w:r>
        <w:rPr>
          <w:szCs w:val="21"/>
        </w:rPr>
        <w:t>加快推进保障性住房建设，精准实施各类群体住房保障工程。</w:t>
      </w:r>
      <w:r>
        <w:rPr>
          <w:rFonts w:hint="eastAsia"/>
          <w:szCs w:val="21"/>
        </w:rPr>
        <w:t>推进城市公共服务周转房建设项目，加快</w:t>
      </w:r>
      <w:bookmarkStart w:id="383" w:name="OLE_LINK135"/>
      <w:r>
        <w:rPr>
          <w:szCs w:val="36"/>
        </w:rPr>
        <w:t>倾多镇、八盖乡以及松宗镇干部周转房</w:t>
      </w:r>
      <w:bookmarkEnd w:id="383"/>
      <w:r>
        <w:rPr>
          <w:rFonts w:hint="eastAsia"/>
          <w:szCs w:val="21"/>
        </w:rPr>
        <w:t>建设。统筹推进基层医职工周转房项目，切实保障医疗系统一线职工及基层机关干部居住需求。实施乡镇寺管会周转房项目。建设足量、宜居、适用的教师周转房，重点抓好</w:t>
      </w:r>
      <w:bookmarkStart w:id="384" w:name="OLE_LINK136"/>
      <w:r>
        <w:rPr>
          <w:rFonts w:hint="eastAsia"/>
          <w:szCs w:val="32"/>
        </w:rPr>
        <w:t>八盖乡、康玉乡、玉普乡、多吉乡、松宗镇及波密县多所学校教师周转房建设</w:t>
      </w:r>
      <w:bookmarkEnd w:id="384"/>
      <w:r>
        <w:rPr>
          <w:rFonts w:hint="eastAsia"/>
          <w:szCs w:val="32"/>
        </w:rPr>
        <w:t>。</w:t>
      </w:r>
      <w:r>
        <w:rPr>
          <w:rFonts w:hint="eastAsia"/>
          <w:szCs w:val="21"/>
        </w:rPr>
        <w:t>灵活采用新建、改建、长期租赁等方式，增加面向新市民、青年人的住房供给。完善住房硬件设施与物业服务，构建周转房多层次保障格局，</w:t>
      </w:r>
      <w:bookmarkStart w:id="385" w:name="OLE_LINK137"/>
      <w:r>
        <w:rPr>
          <w:rFonts w:hint="eastAsia"/>
          <w:szCs w:val="21"/>
        </w:rPr>
        <w:t>着力解决偏远地区及特殊岗位人才后顾之忧。</w:t>
      </w:r>
      <w:bookmarkEnd w:id="385"/>
    </w:p>
    <w:tbl>
      <w:tblPr>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8296"/>
      </w:tblGrid>
      <w:tr>
        <w:tc>
          <w:tcPr>
            <w:tcW w:w="8296" w:type="dxa"/>
            <w:shd w:val="clear" w:color="auto" w:fill="C6D9F1"/>
          </w:tcPr>
          <w:p>
            <w:pPr>
              <w:spacing w:line="240" w:lineRule="auto"/>
              <w:ind w:firstLineChars="0" w:firstLine="0"/>
              <w:jc w:val="center"/>
              <w:rPr>
                <w:rFonts w:ascii="方正楷体_GBK" w:eastAsia="方正楷体_GBK"/>
                <w:sz w:val="18"/>
                <w:szCs w:val="18"/>
              </w:rPr>
            </w:pPr>
            <w:r>
              <w:rPr>
                <w:rFonts w:ascii="方正楷体_GBK" w:eastAsia="方正楷体_GBK" w:hint="eastAsia"/>
                <w:sz w:val="18"/>
                <w:szCs w:val="18"/>
              </w:rPr>
              <w:t>专栏18  健全多层次社会保障体系</w:t>
            </w:r>
          </w:p>
        </w:tc>
      </w:tr>
      <w:tr>
        <w:tc>
          <w:tcPr>
            <w:tcW w:w="8296" w:type="dxa"/>
            <w:shd w:val="clear" w:color="auto" w:fill="CCECFF"/>
          </w:tcPr>
          <w:p>
            <w:pPr>
              <w:spacing w:line="240" w:lineRule="auto"/>
              <w:rPr>
                <w:rFonts w:eastAsia="方正楷体_GBK"/>
                <w:sz w:val="18"/>
                <w:szCs w:val="18"/>
              </w:rPr>
            </w:pPr>
            <w:r>
              <w:rPr>
                <w:rFonts w:eastAsia="方正楷体_GBK"/>
                <w:sz w:val="18"/>
                <w:szCs w:val="18"/>
              </w:rPr>
              <w:t>01</w:t>
            </w:r>
            <w:r>
              <w:rPr>
                <w:rFonts w:eastAsia="方正楷体_GBK" w:hint="eastAsia"/>
                <w:sz w:val="18"/>
                <w:szCs w:val="18"/>
              </w:rPr>
              <w:t>不断提高养老抚老服务</w:t>
            </w:r>
          </w:p>
          <w:p>
            <w:pPr>
              <w:spacing w:line="240" w:lineRule="auto"/>
              <w:rPr>
                <w:rFonts w:eastAsia="方正仿宋_GBK"/>
                <w:sz w:val="18"/>
                <w:szCs w:val="18"/>
              </w:rPr>
            </w:pPr>
            <w:r>
              <w:rPr>
                <w:rFonts w:eastAsia="方正仿宋_GBK" w:hint="eastAsia"/>
                <w:sz w:val="18"/>
                <w:szCs w:val="18"/>
              </w:rPr>
              <w:t>实施波密县医养康养示范项目、偏远乡村幸福院建设项目、波密县居家养老政府购买服务项目、波密县智慧养老项目等。</w:t>
            </w:r>
          </w:p>
        </w:tc>
      </w:tr>
      <w:tr>
        <w:tc>
          <w:tcPr>
            <w:tcW w:w="8296" w:type="dxa"/>
            <w:shd w:val="clear" w:color="auto" w:fill="CCECFF"/>
          </w:tcPr>
          <w:p>
            <w:pPr>
              <w:spacing w:line="240" w:lineRule="auto"/>
              <w:rPr>
                <w:rFonts w:eastAsia="方正楷体_GBK"/>
                <w:sz w:val="18"/>
                <w:szCs w:val="18"/>
              </w:rPr>
            </w:pPr>
            <w:r>
              <w:rPr>
                <w:rFonts w:eastAsia="方正楷体_GBK"/>
                <w:sz w:val="18"/>
                <w:szCs w:val="18"/>
              </w:rPr>
              <w:t>02</w:t>
            </w:r>
            <w:r>
              <w:rPr>
                <w:rFonts w:eastAsia="方正楷体_GBK" w:hint="eastAsia"/>
                <w:sz w:val="18"/>
                <w:szCs w:val="18"/>
              </w:rPr>
              <w:t>不断提高低收入群体服务水平</w:t>
            </w:r>
          </w:p>
          <w:p>
            <w:pPr>
              <w:spacing w:line="240" w:lineRule="auto"/>
              <w:rPr>
                <w:rFonts w:eastAsia="方正仿宋_GBK"/>
                <w:sz w:val="18"/>
                <w:szCs w:val="18"/>
              </w:rPr>
            </w:pPr>
            <w:r>
              <w:rPr>
                <w:rFonts w:eastAsia="方正仿宋_GBK" w:hint="eastAsia"/>
                <w:sz w:val="18"/>
                <w:szCs w:val="18"/>
              </w:rPr>
              <w:t>实施特困中心阳光房建设项目等。</w:t>
            </w:r>
          </w:p>
        </w:tc>
      </w:tr>
      <w:tr>
        <w:tc>
          <w:tcPr>
            <w:tcW w:w="8296" w:type="dxa"/>
            <w:shd w:val="clear" w:color="auto" w:fill="CCECFF"/>
          </w:tcPr>
          <w:p>
            <w:pPr>
              <w:spacing w:line="240" w:lineRule="auto"/>
              <w:rPr>
                <w:rFonts w:eastAsia="方正楷体_GBK"/>
                <w:sz w:val="18"/>
                <w:szCs w:val="18"/>
              </w:rPr>
            </w:pPr>
            <w:r>
              <w:rPr>
                <w:rFonts w:eastAsia="方正楷体_GBK"/>
                <w:sz w:val="18"/>
                <w:szCs w:val="18"/>
              </w:rPr>
              <w:t>03</w:t>
            </w:r>
            <w:r>
              <w:rPr>
                <w:rFonts w:eastAsia="方正楷体_GBK" w:hint="eastAsia"/>
                <w:sz w:val="18"/>
                <w:szCs w:val="18"/>
              </w:rPr>
              <w:t>不断满足特殊人群福利需求</w:t>
            </w:r>
          </w:p>
          <w:p>
            <w:pPr>
              <w:spacing w:line="240" w:lineRule="auto"/>
              <w:rPr>
                <w:rFonts w:eastAsia="方正仿宋_GBK"/>
                <w:sz w:val="18"/>
                <w:szCs w:val="18"/>
              </w:rPr>
            </w:pPr>
            <w:r>
              <w:rPr>
                <w:rFonts w:eastAsia="方正仿宋_GBK" w:hint="eastAsia"/>
                <w:sz w:val="18"/>
                <w:szCs w:val="18"/>
              </w:rPr>
              <w:t>实施波密县助残政府购买服务项目，无障碍改造松宗</w:t>
            </w:r>
            <w:bookmarkStart w:id="386" w:name="_Hlk217925479"/>
            <w:r>
              <w:rPr>
                <w:rFonts w:eastAsia="方正仿宋_GBK" w:hint="eastAsia"/>
                <w:sz w:val="18"/>
                <w:szCs w:val="18"/>
              </w:rPr>
              <w:t>烈士陵园，提升改造十英雄纪念碑</w:t>
            </w:r>
            <w:bookmarkEnd w:id="386"/>
            <w:r>
              <w:rPr>
                <w:rFonts w:eastAsia="方正仿宋_GBK" w:hint="eastAsia"/>
                <w:sz w:val="18"/>
                <w:szCs w:val="18"/>
              </w:rPr>
              <w:t>，实施美丽工坊项目等。</w:t>
            </w:r>
          </w:p>
        </w:tc>
      </w:tr>
      <w:tr>
        <w:tc>
          <w:tcPr>
            <w:tcW w:w="8296" w:type="dxa"/>
            <w:shd w:val="clear" w:color="auto" w:fill="CCECFF"/>
          </w:tcPr>
          <w:p>
            <w:pPr>
              <w:spacing w:line="240" w:lineRule="auto"/>
              <w:rPr>
                <w:rFonts w:eastAsia="方正楷体_GBK"/>
                <w:sz w:val="18"/>
                <w:szCs w:val="18"/>
              </w:rPr>
            </w:pPr>
            <w:r>
              <w:rPr>
                <w:rFonts w:eastAsia="方正楷体_GBK" w:hint="eastAsia"/>
                <w:sz w:val="18"/>
                <w:szCs w:val="18"/>
              </w:rPr>
              <w:t>0</w:t>
            </w:r>
            <w:r>
              <w:rPr>
                <w:rFonts w:eastAsia="方正楷体_GBK"/>
                <w:sz w:val="18"/>
                <w:szCs w:val="18"/>
              </w:rPr>
              <w:t>4</w:t>
            </w:r>
            <w:r>
              <w:rPr>
                <w:rFonts w:eastAsia="方正楷体_GBK" w:hint="eastAsia"/>
                <w:sz w:val="18"/>
                <w:szCs w:val="18"/>
              </w:rPr>
              <w:t>不断完善多层次住房保障体系</w:t>
            </w:r>
          </w:p>
          <w:p>
            <w:pPr>
              <w:spacing w:line="240" w:lineRule="auto"/>
              <w:rPr>
                <w:rFonts w:eastAsia="宋体"/>
                <w:kern w:val="0"/>
                <w:sz w:val="18"/>
                <w:szCs w:val="18"/>
              </w:rPr>
            </w:pPr>
            <w:r>
              <w:rPr>
                <w:rFonts w:eastAsia="方正仿宋_GBK" w:hint="eastAsia"/>
                <w:sz w:val="18"/>
                <w:szCs w:val="18"/>
              </w:rPr>
              <w:t>实施波密县周转房建设项目，倾多镇、八盖乡以及松宗镇干部周转房建设项目，八盖乡、康玉乡、玉普乡、多吉乡、松宗镇及波密县城多所学校教师周转房建设项目，波密县基层医职工周转房建设项目，乡镇寺管会周转房项目，波密县保障性住房配套设施项目。</w:t>
            </w:r>
          </w:p>
        </w:tc>
      </w:tr>
    </w:tbl>
    <w:p>
      <w:pPr>
        <w:pStyle w:val="2"/>
        <w:spacing w:after="190" w:line="576" w:lineRule="exact"/>
      </w:pPr>
      <w:bookmarkStart w:id="387" w:name="_Toc218406269"/>
      <w:bookmarkStart w:id="388" w:name="_Toc223858451"/>
      <w:bookmarkStart w:id="389" w:name="_Toc218406270"/>
      <w:r>
        <w:t>第</w:t>
      </w:r>
      <w:r>
        <w:rPr>
          <w:rFonts w:hint="eastAsia"/>
        </w:rPr>
        <w:t>六</w:t>
      </w:r>
      <w:r>
        <w:t>节 推动文</w:t>
      </w:r>
      <w:r>
        <w:rPr>
          <w:rFonts w:hint="eastAsia"/>
        </w:rPr>
        <w:t>化</w:t>
      </w:r>
      <w:r>
        <w:t>事业繁荣发展</w:t>
      </w:r>
      <w:bookmarkEnd w:id="387"/>
      <w:bookmarkEnd w:id="388"/>
    </w:p>
    <w:p>
      <w:pPr>
        <w:rPr>
          <w:szCs w:val="32"/>
        </w:rPr>
      </w:pPr>
      <w:r>
        <w:rPr>
          <w:rFonts w:eastAsia="楷体_GB2312"/>
          <w:b/>
          <w:szCs w:val="32"/>
        </w:rPr>
        <w:t>加强公共文化</w:t>
      </w:r>
      <w:r>
        <w:rPr>
          <w:rFonts w:eastAsia="楷体_GB2312" w:hint="eastAsia"/>
          <w:b/>
          <w:szCs w:val="32"/>
        </w:rPr>
        <w:t>设施</w:t>
      </w:r>
      <w:r>
        <w:rPr>
          <w:rFonts w:eastAsia="楷体_GB2312"/>
          <w:b/>
          <w:szCs w:val="32"/>
        </w:rPr>
        <w:t>服务建设。</w:t>
      </w:r>
      <w:r>
        <w:rPr>
          <w:rFonts w:hint="eastAsia"/>
          <w:szCs w:val="32"/>
        </w:rPr>
        <w:t>丰富公共文化服务供给</w:t>
      </w:r>
      <w:r>
        <w:rPr>
          <w:szCs w:val="32"/>
        </w:rPr>
        <w:t>，开展形式多样的文化活动。组织举办</w:t>
      </w:r>
      <w:bookmarkStart w:id="390" w:name="OLE_LINK7"/>
      <w:r>
        <w:rPr>
          <w:szCs w:val="32"/>
        </w:rPr>
        <w:t>音乐会、地方戏剧、藏族舞蹈表演等</w:t>
      </w:r>
      <w:bookmarkEnd w:id="390"/>
      <w:r>
        <w:rPr>
          <w:szCs w:val="32"/>
        </w:rPr>
        <w:t>各类文艺演出，邀请专业文艺院团与本地文艺爱好者共同参与，提升演出的丰富性与群众参与度。定期举办自然风光摄影展、传统书画展、民俗文化展等文化展览，深入挖掘波密文化资源，展示地域特色文化魅力。</w:t>
      </w:r>
      <w:r>
        <w:rPr>
          <w:rFonts w:hint="eastAsia"/>
          <w:szCs w:val="32"/>
        </w:rPr>
        <w:t>加强公共文化服务人才队伍建设</w:t>
      </w:r>
      <w:r>
        <w:rPr>
          <w:szCs w:val="32"/>
        </w:rPr>
        <w:t>，通过引进专业人才、开展业务培训、组织经验交流等方式，提升文化工作者的业务能力与服务水平，为公共文化服务高质量发展提供人才支撑。</w:t>
      </w:r>
      <w:r>
        <w:rPr>
          <w:rFonts w:hint="eastAsia"/>
          <w:szCs w:val="32"/>
        </w:rPr>
        <w:t>加强文体设施建设，打造集冰川科考、红色历史、非遗文化等多元素结合的综合性博物馆，通过研学活动、亲子活动以及开发文创产品、增加互动体验等，创新博物馆文化品牌推广模式，建设集收藏、展览、制作、销售于一体的易贡藏刀打造中心。</w:t>
      </w:r>
    </w:p>
    <w:p>
      <w:r>
        <w:rPr>
          <w:rFonts w:eastAsia="楷体_GB2312"/>
          <w:b/>
          <w:szCs w:val="32"/>
        </w:rPr>
        <w:t>推动波密文化保护与发展</w:t>
      </w:r>
      <w:r>
        <w:rPr>
          <w:rFonts w:eastAsia="楷体_GB2312"/>
          <w:szCs w:val="32"/>
        </w:rPr>
        <w:t>。</w:t>
      </w:r>
      <w:r>
        <w:rPr>
          <w:szCs w:val="32"/>
        </w:rPr>
        <w:t>深入挖掘波密地区的红色历史故事、革命先辈事迹，建设红色文化纪念馆</w:t>
      </w:r>
      <w:r>
        <w:rPr>
          <w:rFonts w:hint="eastAsia"/>
          <w:szCs w:val="32"/>
        </w:rPr>
        <w:t>，</w:t>
      </w:r>
      <w:r>
        <w:rPr>
          <w:szCs w:val="32"/>
        </w:rPr>
        <w:t>举办红色文化主题展览</w:t>
      </w:r>
      <w:r>
        <w:rPr>
          <w:rFonts w:hint="eastAsia"/>
          <w:szCs w:val="32"/>
        </w:rPr>
        <w:t>，</w:t>
      </w:r>
      <w:r>
        <w:rPr>
          <w:szCs w:val="32"/>
        </w:rPr>
        <w:t>开展红色文化宣讲活动。利用现代多媒体技术，制作红色文化宣传片，扩大红色文化传播范围。</w:t>
      </w:r>
      <w:r>
        <w:rPr>
          <w:rFonts w:hint="eastAsia"/>
          <w:szCs w:val="32"/>
        </w:rPr>
        <w:t>持续推动</w:t>
      </w:r>
      <w:r>
        <w:rPr>
          <w:rFonts w:hint="eastAsia"/>
        </w:rPr>
        <w:t>拉颇遗址考古发掘工作，加大对出土文物研究和保护，推进拉颇遗址国家考古遗址公园申报工作。强化非遗文化软支撑，建立非遗文化传承基地，为传承人提供创作展示空间，</w:t>
      </w:r>
      <w:r>
        <w:rPr>
          <w:rFonts w:hint="eastAsia"/>
          <w:szCs w:val="32"/>
        </w:rPr>
        <w:t>定期组织非遗技艺培训课程，培养新一代非遗传承人才。</w:t>
      </w:r>
      <w:r>
        <w:rPr>
          <w:rFonts w:hint="eastAsia"/>
        </w:rPr>
        <w:t>驱动文旅产业深度融合，深挖地域文化内涵，做优做精藏纸、藏靴、藏刀等特色产品，推动非遗技艺向具有市场竞争力的文创产品转化，实现文化资源的经济效益转化与可持续发展。</w:t>
      </w:r>
    </w:p>
    <w:tbl>
      <w:tblPr>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8296"/>
      </w:tblGrid>
      <w:tr>
        <w:trPr>
          <w:trHeight w:val="70"/>
        </w:trPr>
        <w:tc>
          <w:tcPr>
            <w:tcW w:w="8296" w:type="dxa"/>
            <w:shd w:val="clear" w:color="auto" w:fill="C6D9F1"/>
            <w:vAlign w:val="center"/>
          </w:tcPr>
          <w:p>
            <w:pPr>
              <w:adjustRightInd w:val="0"/>
              <w:snapToGrid w:val="0"/>
              <w:spacing w:line="240" w:lineRule="auto"/>
              <w:ind w:firstLineChars="0" w:firstLine="0"/>
              <w:jc w:val="center"/>
              <w:rPr>
                <w:rFonts w:eastAsia="宋体"/>
                <w:b/>
                <w:bCs/>
                <w:kern w:val="0"/>
                <w:sz w:val="18"/>
                <w:szCs w:val="18"/>
              </w:rPr>
            </w:pPr>
            <w:r>
              <w:rPr>
                <w:rFonts w:ascii="方正楷体_GBK" w:eastAsia="方正楷体_GBK" w:hint="eastAsia"/>
                <w:sz w:val="18"/>
                <w:szCs w:val="18"/>
              </w:rPr>
              <w:t>专栏19   推动文化事业繁荣发展</w:t>
            </w:r>
          </w:p>
        </w:tc>
      </w:tr>
      <w:tr>
        <w:tc>
          <w:tcPr>
            <w:tcW w:w="8296" w:type="dxa"/>
            <w:shd w:val="clear" w:color="auto" w:fill="CCECFF"/>
          </w:tcPr>
          <w:p>
            <w:pPr>
              <w:spacing w:line="240" w:lineRule="auto"/>
              <w:rPr>
                <w:rFonts w:eastAsia="方正楷体_GBK"/>
                <w:sz w:val="18"/>
                <w:szCs w:val="18"/>
              </w:rPr>
            </w:pPr>
            <w:r>
              <w:rPr>
                <w:rFonts w:eastAsia="方正楷体_GBK"/>
                <w:sz w:val="18"/>
                <w:szCs w:val="18"/>
              </w:rPr>
              <w:t>01</w:t>
            </w:r>
            <w:r>
              <w:rPr>
                <w:rFonts w:eastAsia="方正楷体_GBK" w:hint="eastAsia"/>
                <w:sz w:val="18"/>
                <w:szCs w:val="18"/>
              </w:rPr>
              <w:t>加强公共文化设施服务建设</w:t>
            </w:r>
          </w:p>
          <w:p>
            <w:pPr>
              <w:spacing w:line="240" w:lineRule="auto"/>
              <w:rPr>
                <w:rFonts w:eastAsia="方正楷体_GBK"/>
                <w:sz w:val="18"/>
                <w:szCs w:val="18"/>
              </w:rPr>
            </w:pPr>
            <w:r>
              <w:rPr>
                <w:rFonts w:eastAsia="方正仿宋_GBK" w:hint="eastAsia"/>
                <w:sz w:val="18"/>
                <w:szCs w:val="18"/>
              </w:rPr>
              <w:t>推进波密县综合博物馆、易贡藏刀打造中心建设。</w:t>
            </w:r>
          </w:p>
        </w:tc>
      </w:tr>
    </w:tbl>
    <w:p>
      <w:pPr>
        <w:pStyle w:val="1"/>
        <w:spacing w:after="190" w:line="576" w:lineRule="exact"/>
      </w:pPr>
      <w:r>
        <w:br w:type="page"/>
      </w:r>
      <w:bookmarkStart w:id="391" w:name="_Toc223858452"/>
      <w:r>
        <w:t>第十</w:t>
      </w:r>
      <w:r>
        <w:rPr>
          <w:rFonts w:hint="eastAsia"/>
        </w:rPr>
        <w:t>一</w:t>
      </w:r>
      <w:r>
        <w:t>章 系统治理，守牢生态安全底线</w:t>
      </w:r>
      <w:bookmarkEnd w:id="389"/>
      <w:bookmarkEnd w:id="391"/>
    </w:p>
    <w:p>
      <w:pPr>
        <w:pStyle w:val="2"/>
        <w:spacing w:after="190" w:line="576" w:lineRule="exact"/>
      </w:pPr>
      <w:bookmarkStart w:id="392" w:name="_Toc223858453"/>
      <w:bookmarkStart w:id="393" w:name="_Toc218406271"/>
      <w:r>
        <w:t>第</w:t>
      </w:r>
      <w:r>
        <w:rPr>
          <w:rFonts w:hint="eastAsia"/>
        </w:rPr>
        <w:t>一</w:t>
      </w:r>
      <w:r>
        <w:t xml:space="preserve">节 </w:t>
      </w:r>
      <w:r>
        <w:rPr>
          <w:rFonts w:hint="eastAsia"/>
        </w:rPr>
        <w:t>完善生态文明制度保障体系</w:t>
      </w:r>
      <w:bookmarkEnd w:id="392"/>
    </w:p>
    <w:p>
      <w:pPr>
        <w:rPr>
          <w:szCs w:val="32"/>
        </w:rPr>
      </w:pPr>
      <w:r>
        <w:rPr>
          <w:rFonts w:eastAsia="楷体_GB2312"/>
          <w:b/>
          <w:szCs w:val="32"/>
        </w:rPr>
        <w:t>完善生态补偿机制。</w:t>
      </w:r>
      <w:r>
        <w:rPr>
          <w:rFonts w:hint="eastAsia"/>
          <w:szCs w:val="32"/>
        </w:rPr>
        <w:t>严格落实《中华人民共和国青藏高原生态保护法》，</w:t>
      </w:r>
      <w:r>
        <w:rPr>
          <w:szCs w:val="32"/>
        </w:rPr>
        <w:t>建立覆盖森林、湿地、草原、水生态等领域的生态保护补偿机制，精准落实生态岗位，加大生态补偿力度、扩大生态补偿范围，提供更多生态公益性岗位，提高生态就业岗位补贴。严格落实各类生态补偿政策，继续争取政策支持，持续落实《林芝市生态公益林保护条例》，用好中央财政森林生态效益补偿基金，通过试点增加配套资金等方式，将森林生态效益补偿资金用于生态公益林管护补助和公共管护等支出，逐步提高一线森林防火、护林人员的薪资待遇，激发广大农牧民群众爱绿、护绿的积极性和主动性。</w:t>
      </w:r>
    </w:p>
    <w:p>
      <w:pPr>
        <w:rPr>
          <w:szCs w:val="32"/>
        </w:rPr>
      </w:pPr>
      <w:r>
        <w:rPr>
          <w:rFonts w:eastAsia="楷体_GB2312" w:hint="eastAsia"/>
          <w:b/>
          <w:bCs/>
          <w:szCs w:val="32"/>
        </w:rPr>
        <w:t>提升自然保护地执法与科技支撑能力</w:t>
      </w:r>
      <w:r>
        <w:rPr>
          <w:rFonts w:eastAsia="楷体_GB2312"/>
          <w:b/>
          <w:bCs/>
          <w:szCs w:val="32"/>
        </w:rPr>
        <w:t>。</w:t>
      </w:r>
      <w:r>
        <w:rPr>
          <w:rFonts w:hint="eastAsia"/>
          <w:szCs w:val="32"/>
        </w:rPr>
        <w:t>加强监管队伍建设，全力推进“河长</w:t>
      </w:r>
      <w:r>
        <w:rPr>
          <w:szCs w:val="32"/>
        </w:rPr>
        <w:t>+</w:t>
      </w:r>
      <w:r>
        <w:rPr>
          <w:rFonts w:hint="eastAsia"/>
          <w:szCs w:val="32"/>
        </w:rPr>
        <w:t>林长</w:t>
      </w:r>
      <w:r>
        <w:rPr>
          <w:szCs w:val="32"/>
        </w:rPr>
        <w:t>+</w:t>
      </w:r>
      <w:r>
        <w:rPr>
          <w:rFonts w:hint="eastAsia"/>
          <w:szCs w:val="32"/>
        </w:rPr>
        <w:t>警长”三长机制，</w:t>
      </w:r>
      <w:r>
        <w:rPr>
          <w:szCs w:val="32"/>
        </w:rPr>
        <w:t>充实自然保护地监管专业人才队伍</w:t>
      </w:r>
      <w:r>
        <w:rPr>
          <w:rFonts w:hint="eastAsia"/>
          <w:szCs w:val="32"/>
        </w:rPr>
        <w:t>，常态化开展监管业务培训，不断提升监管人员业务水平和执法能力。深化部门联动与协同治理，完善各自然保护地管理部门间的协同合作机制，定期开展联合执法行动，形成全方位、无死角的监管合力，严厉打击各类破坏自然环境的违规违法行为。统筹各级财政投入，加快监管基础设施建设与监测设备更新，重点配套建设生态观测站，依托先进设备与科研调查，为生态修复提供精准的科学数据支撑。持续推进遥感图斑整改，确保自然资源违规变化“早发现、早制止、早修复”。</w:t>
      </w:r>
    </w:p>
    <w:p>
      <w:pPr>
        <w:rPr>
          <w:szCs w:val="32"/>
        </w:rPr>
      </w:pPr>
      <w:r>
        <w:rPr>
          <w:rFonts w:eastAsia="楷体_GB2312" w:hint="eastAsia"/>
          <w:b/>
          <w:bCs/>
          <w:szCs w:val="32"/>
        </w:rPr>
        <w:t>强化生态文明</w:t>
      </w:r>
      <w:r>
        <w:rPr>
          <w:rFonts w:eastAsia="楷体_GB2312"/>
          <w:b/>
          <w:bCs/>
          <w:szCs w:val="32"/>
        </w:rPr>
        <w:t>宣传教育。</w:t>
      </w:r>
      <w:r>
        <w:rPr>
          <w:rFonts w:hint="eastAsia"/>
          <w:szCs w:val="32"/>
        </w:rPr>
        <w:t>积极</w:t>
      </w:r>
      <w:r>
        <w:rPr>
          <w:szCs w:val="32"/>
        </w:rPr>
        <w:t>开展主题宣传活动，以</w:t>
      </w:r>
      <w:r>
        <w:rPr>
          <w:rFonts w:hint="eastAsia"/>
          <w:szCs w:val="32"/>
        </w:rPr>
        <w:t>“世界环境日”、</w:t>
      </w:r>
      <w:r>
        <w:rPr>
          <w:szCs w:val="32"/>
        </w:rPr>
        <w:t>“国际生物多样性日”</w:t>
      </w:r>
      <w:r>
        <w:rPr>
          <w:rFonts w:hint="eastAsia"/>
          <w:szCs w:val="32"/>
        </w:rPr>
        <w:t>、“生态文明宣传月”</w:t>
      </w:r>
      <w:r>
        <w:rPr>
          <w:szCs w:val="32"/>
        </w:rPr>
        <w:t>等重要时间节点为契机，组织开展形式多样的主题宣传活动。利用微信公众号、抖音等新媒体平台，开展生态保护宣传，吸引公众关注，营造全社会共同参与生态保护的良好氛围。</w:t>
      </w:r>
      <w:r>
        <w:rPr>
          <w:rFonts w:hint="eastAsia"/>
          <w:szCs w:val="32"/>
        </w:rPr>
        <w:t>创新宣传形式和内容，通过寓教于乐、亲身实践的方式，引导干部群众深刻体悟习近平生态文明思想的科学内涵，厚植生态保护意识、践行绿色生活方式。</w:t>
      </w:r>
      <w:r>
        <w:rPr>
          <w:szCs w:val="32"/>
        </w:rPr>
        <w:t>加强科普教育基地建设，依托自然保护区等资源，建设科普教育基地，定期开展科普教育活动。</w:t>
      </w:r>
      <w:r>
        <w:rPr>
          <w:rFonts w:hint="eastAsia"/>
          <w:szCs w:val="32"/>
        </w:rPr>
        <w:t>以政府机关、学校、商场、医院、企业等为重点，推进绿色细胞建设，创建“两山”实践创新基地。</w:t>
      </w:r>
    </w:p>
    <w:p>
      <w:pPr>
        <w:pStyle w:val="2"/>
        <w:spacing w:after="190" w:line="576" w:lineRule="exact"/>
      </w:pPr>
      <w:bookmarkStart w:id="394" w:name="_Toc223858454"/>
      <w:r>
        <w:t>第</w:t>
      </w:r>
      <w:r>
        <w:rPr>
          <w:rFonts w:hint="eastAsia"/>
        </w:rPr>
        <w:t>二</w:t>
      </w:r>
      <w:r>
        <w:t>节 加强环境综合治理</w:t>
      </w:r>
      <w:bookmarkEnd w:id="393"/>
      <w:bookmarkEnd w:id="394"/>
    </w:p>
    <w:p>
      <w:pPr>
        <w:rPr>
          <w:szCs w:val="32"/>
        </w:rPr>
      </w:pPr>
      <w:r>
        <w:rPr>
          <w:rFonts w:eastAsia="楷体_GB2312" w:hint="eastAsia"/>
          <w:b/>
          <w:bCs/>
          <w:szCs w:val="21"/>
        </w:rPr>
        <w:t>深化水环境治理</w:t>
      </w:r>
      <w:r>
        <w:rPr>
          <w:rFonts w:eastAsia="楷体_GB2312"/>
          <w:b/>
          <w:bCs/>
          <w:szCs w:val="21"/>
        </w:rPr>
        <w:t>。</w:t>
      </w:r>
      <w:r>
        <w:rPr>
          <w:rFonts w:hint="eastAsia"/>
          <w:szCs w:val="32"/>
        </w:rPr>
        <w:t>持续推进饮用水水源地环境保护专项行动，强化饮用水从源头到龙头水质管控。开展入河排污口排查整治，加强企业污水排放治理，对重大建设工程建立台账并动态监管，推动中小型或散户为主的畜禽养殖业向标准化、规模化转型。提升城乡污水处理能力，加快污水处理设施建设，加大农家乐、民宿等污水治理，规范餐饮含油污水处理。确保饮用水、地表水水质监测结果达标或优于Ⅲ类水土比例达到</w:t>
      </w:r>
      <w:r>
        <w:rPr>
          <w:szCs w:val="32"/>
        </w:rPr>
        <w:t>100%</w:t>
      </w:r>
      <w:r>
        <w:rPr>
          <w:rFonts w:hint="eastAsia"/>
          <w:szCs w:val="32"/>
        </w:rPr>
        <w:t>。</w:t>
      </w:r>
    </w:p>
    <w:p>
      <w:pPr>
        <w:rPr>
          <w:szCs w:val="32"/>
        </w:rPr>
      </w:pPr>
      <w:r>
        <w:rPr>
          <w:rFonts w:eastAsia="楷体_GB2312"/>
          <w:b/>
          <w:bCs/>
          <w:szCs w:val="21"/>
        </w:rPr>
        <w:t>加强空气污染精细防控。</w:t>
      </w:r>
      <w:r>
        <w:rPr>
          <w:rFonts w:hint="eastAsia"/>
          <w:szCs w:val="32"/>
        </w:rPr>
        <w:t>加强固定源污染治理，强化行业企业排放管理，重点开展加油站、储油库、油罐车油气回收治理工程和重点行业挥发性有机污染物综合整治工程。大力整治餐饮油烟污染，督促和引导餐饮企业安装油烟净化设备。推进扬尘烟尘污染防治，加大城市道路、施工工地、裸露地等扬尘污染控制力度，持续对县内等重点交通路段开展扬尘专项检查，加大违规处罚力度。加强烟尘污染管控，</w:t>
      </w:r>
      <w:r>
        <w:rPr>
          <w:szCs w:val="32"/>
        </w:rPr>
        <w:t>深入开展柴油车污染治理</w:t>
      </w:r>
      <w:r>
        <w:rPr>
          <w:rFonts w:hint="eastAsia"/>
          <w:szCs w:val="32"/>
        </w:rPr>
        <w:t>工作。推进与周边县区联防联控，统一预警分级标准、信息发布、应急响应，提前采取应急减排措施，实施区域应急联动，有效降低污染程度。完善应急预案，明确政府、部门及企业的应急责任，科学确定重污染期间管控措施和污染源减排清单，指导公众做好重污染天气健康防护，</w:t>
      </w:r>
      <w:r>
        <w:rPr>
          <w:szCs w:val="21"/>
        </w:rPr>
        <w:t>城市空气优良天数比例</w:t>
      </w:r>
      <w:r>
        <w:rPr>
          <w:rFonts w:hint="eastAsia"/>
          <w:szCs w:val="21"/>
        </w:rPr>
        <w:t>保持在</w:t>
      </w:r>
      <w:r>
        <w:rPr>
          <w:szCs w:val="21"/>
        </w:rPr>
        <w:t>99%</w:t>
      </w:r>
      <w:r>
        <w:rPr>
          <w:rFonts w:hint="eastAsia"/>
          <w:szCs w:val="21"/>
        </w:rPr>
        <w:t>以上</w:t>
      </w:r>
      <w:r>
        <w:rPr>
          <w:szCs w:val="21"/>
        </w:rPr>
        <w:t>。</w:t>
      </w:r>
    </w:p>
    <w:p>
      <w:pPr>
        <w:rPr>
          <w:szCs w:val="32"/>
        </w:rPr>
      </w:pPr>
      <w:r>
        <w:rPr>
          <w:rFonts w:eastAsia="楷体_GB2312"/>
          <w:b/>
          <w:bCs/>
          <w:szCs w:val="21"/>
        </w:rPr>
        <w:t>推进土壤</w:t>
      </w:r>
      <w:r>
        <w:rPr>
          <w:rFonts w:eastAsia="楷体_GB2312" w:hint="eastAsia"/>
          <w:b/>
          <w:bCs/>
          <w:szCs w:val="21"/>
        </w:rPr>
        <w:t>和地下水</w:t>
      </w:r>
      <w:r>
        <w:rPr>
          <w:rFonts w:eastAsia="楷体_GB2312"/>
          <w:b/>
          <w:bCs/>
          <w:szCs w:val="21"/>
        </w:rPr>
        <w:t>污染</w:t>
      </w:r>
      <w:r>
        <w:rPr>
          <w:rFonts w:eastAsia="楷体_GB2312" w:hint="eastAsia"/>
          <w:b/>
          <w:bCs/>
          <w:szCs w:val="21"/>
        </w:rPr>
        <w:t>防治</w:t>
      </w:r>
      <w:r>
        <w:rPr>
          <w:rFonts w:eastAsia="楷体_GB2312"/>
          <w:b/>
          <w:bCs/>
          <w:szCs w:val="21"/>
        </w:rPr>
        <w:t>。</w:t>
      </w:r>
      <w:r>
        <w:rPr>
          <w:szCs w:val="32"/>
        </w:rPr>
        <w:t>强化土壤污染防控全过程监管，</w:t>
      </w:r>
      <w:r>
        <w:rPr>
          <w:rFonts w:hint="eastAsia"/>
          <w:szCs w:val="32"/>
        </w:rPr>
        <w:t>以基本农田、基本草原等农牧地为重点，</w:t>
      </w:r>
      <w:r>
        <w:rPr>
          <w:szCs w:val="32"/>
        </w:rPr>
        <w:t>严控新增土壤污染、开展土壤污染综合治理，深入推进重金属污染综合治理，推动受污染耕地安全利用，推进土壤污染治理修复。强化农用地分类管理，落实安全利用及严格管控措施，</w:t>
      </w:r>
      <w:r>
        <w:rPr>
          <w:rFonts w:hint="eastAsia"/>
          <w:szCs w:val="32"/>
        </w:rPr>
        <w:t>推进</w:t>
      </w:r>
      <w:r>
        <w:rPr>
          <w:szCs w:val="32"/>
        </w:rPr>
        <w:t>农药化肥</w:t>
      </w:r>
      <w:r>
        <w:rPr>
          <w:rFonts w:hint="eastAsia"/>
          <w:szCs w:val="32"/>
        </w:rPr>
        <w:t>减量使用</w:t>
      </w:r>
      <w:r>
        <w:rPr>
          <w:szCs w:val="32"/>
        </w:rPr>
        <w:t>，强化农业面源污染治理。构建全生命周期的建设用地管理体系，落实分用途管理措施，降低土壤污染风险。严格控制新增土壤污染，推进“一住两公”土地污染调查。加强白色污染治理，重视和加强新污染物监管和治理。</w:t>
      </w:r>
      <w:r>
        <w:rPr>
          <w:rFonts w:hint="eastAsia"/>
          <w:szCs w:val="32"/>
        </w:rPr>
        <w:t>在铁路重大工程沿线，加强隧道施工期地下水环境监测。</w:t>
      </w:r>
    </w:p>
    <w:p>
      <w:r>
        <w:rPr>
          <w:rFonts w:eastAsia="楷体_GB2312"/>
          <w:b/>
          <w:bCs/>
          <w:szCs w:val="21"/>
        </w:rPr>
        <w:t>推进</w:t>
      </w:r>
      <w:r>
        <w:rPr>
          <w:rFonts w:eastAsia="楷体_GB2312" w:hint="eastAsia"/>
          <w:b/>
          <w:bCs/>
          <w:szCs w:val="21"/>
        </w:rPr>
        <w:t>噪声</w:t>
      </w:r>
      <w:r>
        <w:rPr>
          <w:rFonts w:eastAsia="楷体_GB2312"/>
          <w:b/>
          <w:bCs/>
          <w:szCs w:val="21"/>
        </w:rPr>
        <w:t>污染综合整治。</w:t>
      </w:r>
      <w:r>
        <w:rPr>
          <w:rFonts w:hint="eastAsia"/>
        </w:rPr>
        <w:t>深入开展噪声污染综合整治，着力打造宁静和谐城市空间，聚焦工业生产、建筑施工、交通运输及社会生活等重点领域，推广低噪声施工工艺，开展全覆盖式噪声达标专项行动。</w:t>
      </w:r>
      <w:bookmarkStart w:id="395" w:name="OLE_LINK107"/>
      <w:r>
        <w:rPr>
          <w:rFonts w:hint="eastAsia"/>
        </w:rPr>
        <w:t>严格落实娱乐经营场所噪声达标排放，加强县城交通噪音监测管理，严厉打击噪声扰民违法行为。</w:t>
      </w:r>
      <w:bookmarkEnd w:id="395"/>
    </w:p>
    <w:tbl>
      <w:tblPr>
        <w:tblpPr w:leftFromText="180" w:rightFromText="180" w:vertAnchor="text" w:horzAnchor="page" w:tblpX="1824" w:tblpY="245"/>
        <w:tblOverlap w:val="never"/>
        <w:tblW w:w="8222"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8222"/>
      </w:tblGrid>
      <w:tr>
        <w:trPr>
          <w:trHeight w:val="20"/>
        </w:trPr>
        <w:tc>
          <w:tcPr>
            <w:tcW w:w="8222" w:type="dxa"/>
            <w:tcBorders>
              <w:top w:val="single" w:sz="4" w:space="0" w:color="auto"/>
              <w:left w:val="single" w:sz="4" w:space="0" w:color="auto"/>
              <w:bottom w:val="single" w:sz="4" w:space="0" w:color="auto"/>
              <w:right w:val="single" w:sz="4" w:space="0" w:color="auto"/>
            </w:tcBorders>
            <w:shd w:val="clear" w:color="auto" w:fill="C6D9F1"/>
            <w:vAlign w:val="center"/>
          </w:tcPr>
          <w:p>
            <w:pPr>
              <w:spacing w:line="240" w:lineRule="auto"/>
              <w:ind w:firstLineChars="0" w:firstLine="0"/>
              <w:jc w:val="center"/>
              <w:rPr>
                <w:rFonts w:ascii="方正楷体_GBK" w:eastAsia="方正楷体_GBK"/>
                <w:sz w:val="18"/>
                <w:szCs w:val="18"/>
              </w:rPr>
            </w:pPr>
            <w:r>
              <w:rPr>
                <w:rFonts w:ascii="方正楷体_GBK" w:eastAsia="方正楷体_GBK" w:hint="eastAsia"/>
                <w:sz w:val="18"/>
                <w:szCs w:val="18"/>
              </w:rPr>
              <w:t>专栏20   加强环境综合治理</w:t>
            </w:r>
          </w:p>
        </w:tc>
      </w:tr>
      <w:tr>
        <w:trPr>
          <w:trHeight w:val="20"/>
        </w:trPr>
        <w:tc>
          <w:tcPr>
            <w:tcW w:w="8222" w:type="dxa"/>
            <w:tcBorders>
              <w:top w:val="single" w:sz="4" w:space="0" w:color="auto"/>
              <w:left w:val="single" w:sz="4" w:space="0" w:color="auto"/>
              <w:bottom w:val="single" w:sz="4" w:space="0" w:color="auto"/>
              <w:right w:val="single" w:sz="4" w:space="0" w:color="auto"/>
            </w:tcBorders>
            <w:shd w:val="clear" w:color="auto" w:fill="CCECFF"/>
            <w:vAlign w:val="center"/>
          </w:tcPr>
          <w:p>
            <w:pPr>
              <w:spacing w:line="240" w:lineRule="auto"/>
              <w:rPr>
                <w:rFonts w:eastAsia="方正楷体_GBK"/>
                <w:sz w:val="18"/>
                <w:szCs w:val="18"/>
              </w:rPr>
            </w:pPr>
            <w:r>
              <w:rPr>
                <w:rFonts w:eastAsia="方正楷体_GBK"/>
                <w:sz w:val="18"/>
                <w:szCs w:val="18"/>
              </w:rPr>
              <w:t xml:space="preserve">01 </w:t>
            </w:r>
            <w:r>
              <w:rPr>
                <w:rFonts w:eastAsia="方正楷体_GBK" w:hint="eastAsia"/>
                <w:sz w:val="18"/>
                <w:szCs w:val="18"/>
              </w:rPr>
              <w:t>深化水环境治理</w:t>
            </w:r>
          </w:p>
          <w:p>
            <w:pPr>
              <w:spacing w:line="240" w:lineRule="auto"/>
              <w:rPr>
                <w:rFonts w:eastAsia="宋体"/>
                <w:kern w:val="0"/>
                <w:sz w:val="18"/>
                <w:szCs w:val="18"/>
              </w:rPr>
            </w:pPr>
            <w:r>
              <w:rPr>
                <w:rFonts w:eastAsia="方正仿宋_GBK" w:hint="eastAsia"/>
                <w:sz w:val="18"/>
                <w:szCs w:val="18"/>
              </w:rPr>
              <w:t>林芝市波密片区生态环境监测站建设项目，波密片区环境监测站辐射环境监测能力建设项目。</w:t>
            </w:r>
          </w:p>
        </w:tc>
      </w:tr>
    </w:tbl>
    <w:p>
      <w:pPr>
        <w:pStyle w:val="2"/>
        <w:spacing w:after="190" w:line="576" w:lineRule="exact"/>
      </w:pPr>
      <w:bookmarkStart w:id="396" w:name="_Toc218406273"/>
      <w:bookmarkStart w:id="397" w:name="_Toc223858455"/>
      <w:r>
        <w:t xml:space="preserve">第三节 </w:t>
      </w:r>
      <w:r>
        <w:rPr>
          <w:rFonts w:hint="eastAsia"/>
        </w:rPr>
        <w:t>统筹自然资源保护与生态治理</w:t>
      </w:r>
      <w:bookmarkEnd w:id="396"/>
      <w:bookmarkEnd w:id="397"/>
    </w:p>
    <w:p>
      <w:pPr>
        <w:rPr>
          <w:szCs w:val="32"/>
        </w:rPr>
      </w:pPr>
      <w:r>
        <w:rPr>
          <w:rFonts w:eastAsia="楷体_GB2312"/>
          <w:b/>
          <w:szCs w:val="32"/>
        </w:rPr>
        <w:t>加强林地修复与</w:t>
      </w:r>
      <w:r>
        <w:rPr>
          <w:rFonts w:eastAsia="楷体_GB2312" w:hint="eastAsia"/>
          <w:b/>
          <w:szCs w:val="32"/>
        </w:rPr>
        <w:t>国土绿化行动</w:t>
      </w:r>
      <w:r>
        <w:rPr>
          <w:rFonts w:eastAsia="楷体_GB2312"/>
          <w:b/>
          <w:szCs w:val="32"/>
        </w:rPr>
        <w:t>。</w:t>
      </w:r>
      <w:r>
        <w:rPr>
          <w:szCs w:val="32"/>
        </w:rPr>
        <w:t>严格控制林地转为建设用地，积极推进波密县森林抚育项目</w:t>
      </w:r>
      <w:r>
        <w:rPr>
          <w:rFonts w:hint="eastAsia"/>
          <w:szCs w:val="32"/>
        </w:rPr>
        <w:t>及基础设施建设，</w:t>
      </w:r>
      <w:bookmarkStart w:id="398" w:name="OLE_LINK49"/>
      <w:r>
        <w:rPr>
          <w:rFonts w:hint="eastAsia"/>
          <w:szCs w:val="32"/>
        </w:rPr>
        <w:t>实施</w:t>
      </w:r>
      <w:r>
        <w:rPr>
          <w:szCs w:val="32"/>
        </w:rPr>
        <w:t>玉普乡、扎木镇、玉许乡等重点区域生态修复项目</w:t>
      </w:r>
      <w:bookmarkEnd w:id="398"/>
      <w:r>
        <w:rPr>
          <w:rFonts w:hint="eastAsia"/>
          <w:szCs w:val="32"/>
        </w:rPr>
        <w:t>、</w:t>
      </w:r>
      <w:r>
        <w:rPr>
          <w:szCs w:val="32"/>
        </w:rPr>
        <w:t>玉普乡森林防火通道建设项目、森防突击队训练用房建设项目。推进公益林建设，加强林地修复，提高低质林地的生态防护功能，提高森林覆盖率和森林生态系统功能，</w:t>
      </w:r>
      <w:r>
        <w:rPr>
          <w:rFonts w:hint="eastAsia"/>
          <w:szCs w:val="32"/>
        </w:rPr>
        <w:t>力争</w:t>
      </w:r>
      <w:r>
        <w:rPr>
          <w:szCs w:val="32"/>
        </w:rPr>
        <w:t>至2030年森林覆盖率</w:t>
      </w:r>
      <w:r>
        <w:rPr>
          <w:rFonts w:hint="eastAsia"/>
          <w:szCs w:val="32"/>
        </w:rPr>
        <w:t>不低于</w:t>
      </w:r>
      <w:r>
        <w:rPr>
          <w:szCs w:val="32"/>
        </w:rPr>
        <w:t>35.5%</w:t>
      </w:r>
      <w:r>
        <w:rPr>
          <w:rFonts w:hint="eastAsia"/>
          <w:szCs w:val="32"/>
        </w:rPr>
        <w:t>。</w:t>
      </w:r>
      <w:r>
        <w:rPr>
          <w:szCs w:val="32"/>
        </w:rPr>
        <w:t>高质量推进生态修复和国土绿化行动，适地适树、适时适法，对波密县重点区域裸露地、林地退化区域、地质灾害地块进行生态恢复，注重生态与景观相融合，改善林分质量，提高林地碳储量，努力实现宜林荒山荒坡应绿尽绿。以打造</w:t>
      </w:r>
      <w:r>
        <w:rPr>
          <w:rFonts w:hint="eastAsia"/>
          <w:szCs w:val="32"/>
        </w:rPr>
        <w:t>林芝</w:t>
      </w:r>
      <w:r>
        <w:rPr>
          <w:szCs w:val="32"/>
        </w:rPr>
        <w:t xml:space="preserve"> “</w:t>
      </w:r>
      <w:r>
        <w:rPr>
          <w:rFonts w:hint="eastAsia"/>
          <w:szCs w:val="32"/>
        </w:rPr>
        <w:t>桃花城</w:t>
      </w:r>
      <w:r>
        <w:rPr>
          <w:szCs w:val="32"/>
        </w:rPr>
        <w:t>”为目标，在主要沟谷及G318沿线大力栽植桃树，形成集中连片桃花景观带。</w:t>
      </w:r>
      <w:bookmarkStart w:id="399" w:name="OLE_LINK383"/>
    </w:p>
    <w:p>
      <w:pPr>
        <w:rPr>
          <w:rFonts w:eastAsia="楷体_GB2312"/>
          <w:b/>
          <w:szCs w:val="32"/>
        </w:rPr>
      </w:pPr>
      <w:bookmarkStart w:id="400" w:name="OLE_LINK384"/>
      <w:bookmarkEnd w:id="399"/>
      <w:r>
        <w:rPr>
          <w:rFonts w:eastAsia="楷体_GB2312"/>
          <w:b/>
          <w:szCs w:val="32"/>
        </w:rPr>
        <w:t>推进湿地资源修复工作。</w:t>
      </w:r>
      <w:r>
        <w:rPr>
          <w:szCs w:val="32"/>
        </w:rPr>
        <w:t>实施湿地总量和指标控制，严格限制建设占用湿地，加强湿地用途管制，至2030年，全县湿地保护率不低于50%，湿地保有量保持稳定。对湿地利用活动进行分类指导，建立不同湿地的合理利用示范模式。推进湿地生态修复，采取泥炭沼泽湿地保护、野生动植物生境修复、植被恢复等措施，确保湿地修复更加科学有效。</w:t>
      </w:r>
      <w:bookmarkEnd w:id="400"/>
    </w:p>
    <w:p>
      <w:pPr>
        <w:rPr>
          <w:szCs w:val="32"/>
        </w:rPr>
      </w:pPr>
      <w:r>
        <w:rPr>
          <w:rFonts w:eastAsia="楷体_GB2312"/>
          <w:b/>
          <w:szCs w:val="32"/>
        </w:rPr>
        <w:t>平衡草地资源保护与利用。</w:t>
      </w:r>
      <w:r>
        <w:rPr>
          <w:szCs w:val="32"/>
        </w:rPr>
        <w:t>严格落实草地资源保护目标，至2030年草原综合植被覆盖度达19%，实施最严格的草原资源管控措施，完善草原应急管理体系。统筹协调草原生态保护和畜牧业发展，控制草地资源利用强度，重点与生态修复工程、水土流失治理工程等相结合，增强草地自然恢复能力，确保林草生态系统功能整体性提升。</w:t>
      </w:r>
    </w:p>
    <w:p>
      <w:pPr>
        <w:rPr>
          <w:szCs w:val="32"/>
        </w:rPr>
      </w:pPr>
      <w:r>
        <w:rPr>
          <w:rFonts w:eastAsia="楷体_GB2312" w:hint="eastAsia"/>
          <w:b/>
          <w:szCs w:val="32"/>
        </w:rPr>
        <w:t>加强冰川及永久积雪保护。</w:t>
      </w:r>
      <w:r>
        <w:rPr>
          <w:rFonts w:hint="eastAsia"/>
          <w:szCs w:val="32"/>
        </w:rPr>
        <w:t>严格落实《西藏自治区冰川保护条例》，定期开展冰川和冰缘区动态监测，切实管控冰川周边区域生产经营活动</w:t>
      </w:r>
      <w:bookmarkStart w:id="401" w:name="OLE_LINK51"/>
      <w:r>
        <w:rPr>
          <w:rFonts w:hint="eastAsia"/>
          <w:szCs w:val="32"/>
        </w:rPr>
        <w:t>。统筹推进冰川周边水源涵养区生态修复，</w:t>
      </w:r>
      <w:bookmarkStart w:id="402" w:name="OLE_LINK52"/>
      <w:bookmarkEnd w:id="401"/>
      <w:r>
        <w:rPr>
          <w:rFonts w:hint="eastAsia"/>
          <w:szCs w:val="32"/>
        </w:rPr>
        <w:t>从严抓好气候敏感区人类活动管控，坚决禁止违规旅游开发及工矿活动。</w:t>
      </w:r>
      <w:bookmarkStart w:id="403" w:name="OLE_LINK53"/>
      <w:bookmarkEnd w:id="402"/>
      <w:r>
        <w:rPr>
          <w:rFonts w:hint="eastAsia"/>
          <w:szCs w:val="32"/>
        </w:rPr>
        <w:t>深化冰雪资源生态价值研究，强化冰川崩塌、冰湖溃决等次生灾害早期预警与综合防治</w:t>
      </w:r>
      <w:bookmarkEnd w:id="403"/>
      <w:r>
        <w:rPr>
          <w:rFonts w:hint="eastAsia"/>
          <w:szCs w:val="32"/>
        </w:rPr>
        <w:t>，保持冰川原始风貌。</w:t>
      </w:r>
    </w:p>
    <w:p>
      <w:pPr>
        <w:rPr>
          <w:szCs w:val="32"/>
        </w:rPr>
      </w:pPr>
      <w:r>
        <w:rPr>
          <w:rFonts w:eastAsia="楷体_GB2312" w:hint="eastAsia"/>
          <w:b/>
          <w:bCs/>
          <w:szCs w:val="32"/>
        </w:rPr>
        <w:t>加强生物多样性及生态保护。</w:t>
      </w:r>
      <w:r>
        <w:rPr>
          <w:rFonts w:hint="eastAsia"/>
          <w:szCs w:val="32"/>
        </w:rPr>
        <w:t>落实国家加强青藏高原生物多样性保护要求，推进自然保护地建设。</w:t>
      </w:r>
      <w:r>
        <w:rPr>
          <w:rFonts w:hint="eastAsia"/>
          <w:b/>
          <w:bCs/>
          <w:szCs w:val="32"/>
        </w:rPr>
        <w:t>落实野生动植物保护措施。</w:t>
      </w:r>
      <w:r>
        <w:rPr>
          <w:rFonts w:hint="eastAsia"/>
          <w:szCs w:val="32"/>
        </w:rPr>
        <w:t>加强野生动物重要栖息地、迁徙洄游通道和野生植物原生境保护，建立珍稀动物养殖场、救助站，珍稀濒危物种迁入人工养殖场进行特殊保护和人工繁殖，建设标准化、规范化生物保护空间。</w:t>
      </w:r>
      <w:r>
        <w:rPr>
          <w:rFonts w:hint="eastAsia"/>
          <w:b/>
          <w:bCs/>
          <w:szCs w:val="32"/>
        </w:rPr>
        <w:t>加大保护执法力度。</w:t>
      </w:r>
      <w:r>
        <w:rPr>
          <w:rFonts w:hint="eastAsia"/>
          <w:szCs w:val="32"/>
        </w:rPr>
        <w:t>加强生态保护红线区域及开发建设项目的生态保护执法力度，定期开展生物多样性执法检查监督，严厉打击乱捕滥猎野生动物行为，严肃查处损害野生动植物资源案件。</w:t>
      </w:r>
      <w:r>
        <w:rPr>
          <w:rFonts w:hint="eastAsia"/>
          <w:b/>
          <w:bCs/>
          <w:szCs w:val="32"/>
        </w:rPr>
        <w:t>加强生物安全管理。</w:t>
      </w:r>
      <w:r>
        <w:rPr>
          <w:rFonts w:hint="eastAsia"/>
          <w:szCs w:val="32"/>
        </w:rPr>
        <w:t>开展生物资源普查，加大生物安全风险防范力度，加强外来物种入侵预防与管理，建立监测预警及风险管理机制，制订应急预案。</w:t>
      </w:r>
      <w:r>
        <w:rPr>
          <w:rFonts w:hint="eastAsia"/>
          <w:b/>
          <w:bCs/>
          <w:szCs w:val="32"/>
        </w:rPr>
        <w:t>开展保护科研科普。</w:t>
      </w:r>
      <w:r>
        <w:rPr>
          <w:rFonts w:hint="eastAsia"/>
          <w:szCs w:val="32"/>
        </w:rPr>
        <w:t>依托县域内丰富的动植物资源，深度挖掘科考观测与科普研学功能，系统策划生态监测、科普教育等科研学术交流活动。</w:t>
      </w:r>
      <w:bookmarkStart w:id="404" w:name="OLE_LINK387"/>
      <w:r>
        <w:rPr>
          <w:szCs w:val="32"/>
        </w:rPr>
        <w:t>推进生态修复基础设施建设，</w:t>
      </w:r>
      <w:bookmarkEnd w:id="404"/>
      <w:r>
        <w:rPr>
          <w:rFonts w:hint="eastAsia"/>
          <w:szCs w:val="32"/>
        </w:rPr>
        <w:t>实施</w:t>
      </w:r>
      <w:r>
        <w:rPr>
          <w:szCs w:val="32"/>
        </w:rPr>
        <w:t>玉普乡、扎木镇、玉许乡等重点区域生态修复项目。</w:t>
      </w:r>
    </w:p>
    <w:tbl>
      <w:tblPr>
        <w:jc w:val="center"/>
        <w:tblW w:w="8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391"/>
      </w:tblGrid>
      <w:tr>
        <w:trPr>
          <w:trHeight w:val="70"/>
          <w:tblHeader/>
        </w:trPr>
        <w:tc>
          <w:tcPr>
            <w:tcW w:w="8391" w:type="dxa"/>
            <w:tcBorders>
              <w:bottom w:val="single" w:sz="4" w:space="0" w:color="auto"/>
            </w:tcBorders>
            <w:shd w:val="clear" w:color="auto" w:fill="C6D9F1"/>
            <w:vAlign w:val="center"/>
          </w:tcPr>
          <w:p>
            <w:pPr>
              <w:spacing w:line="240" w:lineRule="auto"/>
              <w:ind w:firstLineChars="0" w:firstLine="0"/>
              <w:jc w:val="center"/>
              <w:rPr>
                <w:rFonts w:ascii="方正楷体_GBK" w:eastAsia="方正楷体_GBK"/>
                <w:sz w:val="18"/>
                <w:szCs w:val="18"/>
              </w:rPr>
            </w:pPr>
            <w:r>
              <w:rPr>
                <w:rFonts w:ascii="方正楷体_GBK" w:eastAsia="方正楷体_GBK" w:hint="eastAsia"/>
                <w:sz w:val="18"/>
                <w:szCs w:val="18"/>
              </w:rPr>
              <w:t>专栏21   统筹自然资源保护与生态治理</w:t>
            </w:r>
          </w:p>
        </w:tc>
      </w:tr>
      <w:tr>
        <w:trPr>
          <w:trHeight w:val="979"/>
        </w:trPr>
        <w:tc>
          <w:tcPr>
            <w:tcW w:w="8391" w:type="dxa"/>
            <w:tcBorders>
              <w:top w:val="nil"/>
            </w:tcBorders>
            <w:shd w:val="clear" w:color="auto" w:fill="CCECFF"/>
            <w:vAlign w:val="center"/>
          </w:tcPr>
          <w:p>
            <w:pPr>
              <w:spacing w:line="240" w:lineRule="auto"/>
              <w:rPr>
                <w:rFonts w:eastAsia="方正楷体_GBK"/>
                <w:sz w:val="18"/>
                <w:szCs w:val="18"/>
              </w:rPr>
            </w:pPr>
            <w:r>
              <w:rPr>
                <w:rFonts w:eastAsia="方正楷体_GBK"/>
                <w:sz w:val="18"/>
                <w:szCs w:val="18"/>
              </w:rPr>
              <w:t>01</w:t>
            </w:r>
            <w:bookmarkStart w:id="405" w:name="OLE_LINK245"/>
            <w:r>
              <w:rPr>
                <w:rFonts w:eastAsia="方正楷体_GBK"/>
                <w:sz w:val="18"/>
                <w:szCs w:val="18"/>
              </w:rPr>
              <w:t xml:space="preserve"> </w:t>
            </w:r>
            <w:r>
              <w:rPr>
                <w:rFonts w:eastAsia="方正楷体_GBK" w:hint="eastAsia"/>
                <w:sz w:val="18"/>
                <w:szCs w:val="18"/>
              </w:rPr>
              <w:t>加强林地修复与</w:t>
            </w:r>
            <w:bookmarkEnd w:id="405"/>
            <w:r>
              <w:rPr>
                <w:rFonts w:eastAsia="方正楷体_GBK" w:hint="eastAsia"/>
                <w:sz w:val="18"/>
                <w:szCs w:val="18"/>
              </w:rPr>
              <w:t>国土绿化行动</w:t>
            </w:r>
          </w:p>
          <w:p>
            <w:pPr>
              <w:spacing w:line="240" w:lineRule="auto"/>
              <w:rPr>
                <w:rFonts w:eastAsia="方正仿宋_GBK"/>
                <w:sz w:val="18"/>
                <w:szCs w:val="18"/>
              </w:rPr>
            </w:pPr>
            <w:r>
              <w:rPr>
                <w:rFonts w:eastAsia="方正仿宋_GBK" w:hint="eastAsia"/>
                <w:sz w:val="18"/>
                <w:szCs w:val="18"/>
              </w:rPr>
              <w:t>实施波密县2026年森林抚育项目，玉普乡达巴村森林防火通道建设项目，森防突击队训练用房建设项目（二期），玉普乡经济林果种植项目，玉普乡高原枸杞种植项目等。</w:t>
            </w:r>
          </w:p>
        </w:tc>
      </w:tr>
      <w:tr>
        <w:trPr>
          <w:trHeight w:val="979"/>
        </w:trPr>
        <w:tc>
          <w:tcPr>
            <w:tcW w:w="8391" w:type="dxa"/>
            <w:tcBorders>
              <w:top w:val="nil"/>
            </w:tcBorders>
            <w:shd w:val="clear" w:color="auto" w:fill="CCECFF"/>
            <w:vAlign w:val="center"/>
          </w:tcPr>
          <w:p>
            <w:pPr>
              <w:spacing w:line="240" w:lineRule="auto"/>
              <w:rPr>
                <w:rFonts w:eastAsia="方正楷体_GBK"/>
                <w:sz w:val="18"/>
                <w:szCs w:val="18"/>
              </w:rPr>
            </w:pPr>
            <w:bookmarkStart w:id="406" w:name="OLE_LINK388"/>
            <w:r>
              <w:rPr>
                <w:rFonts w:eastAsia="方正楷体_GBK"/>
                <w:sz w:val="18"/>
                <w:szCs w:val="18"/>
              </w:rPr>
              <w:t>0</w:t>
            </w:r>
            <w:r>
              <w:rPr>
                <w:rFonts w:eastAsia="方正楷体_GBK" w:hint="eastAsia"/>
                <w:sz w:val="18"/>
                <w:szCs w:val="18"/>
              </w:rPr>
              <w:t>2</w:t>
            </w:r>
            <w:r>
              <w:rPr>
                <w:rFonts w:eastAsia="方正楷体_GBK"/>
                <w:sz w:val="18"/>
                <w:szCs w:val="18"/>
              </w:rPr>
              <w:t xml:space="preserve"> </w:t>
            </w:r>
            <w:r>
              <w:rPr>
                <w:rFonts w:eastAsia="方正楷体_GBK" w:hint="eastAsia"/>
                <w:sz w:val="18"/>
                <w:szCs w:val="18"/>
              </w:rPr>
              <w:t>加强生物多样性与生态保护</w:t>
            </w:r>
          </w:p>
          <w:p>
            <w:pPr>
              <w:spacing w:line="240" w:lineRule="auto"/>
              <w:rPr>
                <w:rFonts w:eastAsia="宋体"/>
                <w:bCs/>
                <w:sz w:val="18"/>
                <w:szCs w:val="18"/>
              </w:rPr>
            </w:pPr>
            <w:bookmarkEnd w:id="406"/>
            <w:r>
              <w:rPr>
                <w:rFonts w:eastAsia="方正仿宋_GBK" w:hint="eastAsia"/>
                <w:sz w:val="18"/>
                <w:szCs w:val="18"/>
              </w:rPr>
              <w:t>实施玉许乡、扎木镇、玉普乡重点区域生态修复建设项目，推进波密县生物多样性观测网络建设项目。</w:t>
            </w:r>
          </w:p>
        </w:tc>
      </w:tr>
    </w:tbl>
    <w:p>
      <w:pPr>
        <w:pStyle w:val="2"/>
        <w:spacing w:after="190" w:line="576" w:lineRule="exact"/>
      </w:pPr>
      <w:bookmarkStart w:id="407" w:name="_Toc218406274"/>
      <w:bookmarkStart w:id="408" w:name="_Toc223858456"/>
      <w:r>
        <w:t>第</w:t>
      </w:r>
      <w:r>
        <w:rPr>
          <w:rFonts w:hint="eastAsia"/>
        </w:rPr>
        <w:t>四</w:t>
      </w:r>
      <w:r>
        <w:t xml:space="preserve">节 </w:t>
      </w:r>
      <w:r>
        <w:rPr>
          <w:rFonts w:hint="eastAsia"/>
        </w:rPr>
        <w:t>推动绿色低碳发展</w:t>
      </w:r>
      <w:bookmarkEnd w:id="407"/>
      <w:bookmarkEnd w:id="408"/>
    </w:p>
    <w:p>
      <w:pPr>
        <w:rPr>
          <w:szCs w:val="32"/>
        </w:rPr>
      </w:pPr>
      <w:r>
        <w:rPr>
          <w:rFonts w:eastAsia="楷体_GB2312" w:hint="eastAsia"/>
          <w:b/>
          <w:bCs/>
          <w:szCs w:val="32"/>
        </w:rPr>
        <w:t>增强绿色产业竞争力。</w:t>
      </w:r>
      <w:r>
        <w:rPr>
          <w:rFonts w:hint="eastAsia"/>
          <w:b/>
          <w:bCs/>
          <w:szCs w:val="32"/>
        </w:rPr>
        <w:t>大力推进绿色产业发展。</w:t>
      </w:r>
      <w:r>
        <w:rPr>
          <w:rFonts w:hint="eastAsia"/>
          <w:szCs w:val="32"/>
        </w:rPr>
        <w:t>加快推进农业绿色化发展，全面推进林木废弃物资源化利用。倡导简约适度、绿色低碳生活方式，增加绿色产品和服务供给。推动清洁能源技术在县城供电、供热、供气、交通和建筑中的应用，推动公用大型建筑及民用社区建筑光伏一体化、产业园区分布式光伏试点。推进交通设施绿色化建设和改造，加快老旧车辆更新换代和新能源车辆推广应用，稳步扩大清洁能源车比例。探索既有建筑绿色化改造，推广应用绿色建材，推行节能、装配式等高星级绿色建筑。支持绿色技术创新，全面推进清洁生产，推动绿色制造和绿色包装应用，加快重点行业领域绿色标准化行动，完善绿色供应链。</w:t>
      </w:r>
      <w:r>
        <w:rPr>
          <w:rFonts w:hint="eastAsia"/>
          <w:b/>
          <w:bCs/>
          <w:szCs w:val="32"/>
        </w:rPr>
        <w:t>扩大绿色产品市场占有率。</w:t>
      </w:r>
      <w:r>
        <w:rPr>
          <w:rFonts w:hint="eastAsia"/>
          <w:szCs w:val="32"/>
        </w:rPr>
        <w:t>充分发挥党政机关示范带头作用，积极推动节能节水认证产品、环境标识产品、无公害标识食品等绿色标识产品生产、销售及消费，畅通绿色产品流通渠道。建立健全绿色产品质量监督体系，强化产品绿色设计和绿色制造，鼓励企业使用绿色材料。</w:t>
      </w:r>
      <w:r>
        <w:rPr>
          <w:szCs w:val="32"/>
        </w:rPr>
        <w:t>推广使用再生产品，限制使用一次性消费品。</w:t>
      </w:r>
      <w:r>
        <w:rPr>
          <w:rFonts w:hint="eastAsia"/>
          <w:szCs w:val="32"/>
        </w:rPr>
        <w:t>严控高能耗设备和产品进入市场，引导全县居民购买节能电器、低效能家电、节水型器具等节能环保低碳产品。</w:t>
      </w:r>
    </w:p>
    <w:p>
      <w:pPr>
        <w:rPr>
          <w:szCs w:val="32"/>
        </w:rPr>
      </w:pPr>
      <w:r>
        <w:rPr>
          <w:rFonts w:eastAsia="楷体_GB2312" w:hint="eastAsia"/>
          <w:b/>
          <w:bCs/>
          <w:szCs w:val="32"/>
        </w:rPr>
        <w:t>推进波密</w:t>
      </w:r>
      <w:r>
        <w:rPr>
          <w:rFonts w:eastAsia="楷体_GB2312"/>
          <w:b/>
          <w:bCs/>
          <w:szCs w:val="32"/>
        </w:rPr>
        <w:t>“</w:t>
      </w:r>
      <w:r>
        <w:rPr>
          <w:rFonts w:eastAsia="楷体_GB2312" w:hint="eastAsia"/>
          <w:b/>
          <w:bCs/>
          <w:szCs w:val="32"/>
        </w:rPr>
        <w:t>无废县区</w:t>
      </w:r>
      <w:r>
        <w:rPr>
          <w:rFonts w:eastAsia="楷体_GB2312"/>
          <w:b/>
          <w:bCs/>
          <w:szCs w:val="32"/>
        </w:rPr>
        <w:t>”</w:t>
      </w:r>
      <w:r>
        <w:rPr>
          <w:rFonts w:eastAsia="楷体_GB2312" w:hint="eastAsia"/>
          <w:b/>
          <w:bCs/>
          <w:szCs w:val="32"/>
        </w:rPr>
        <w:t>建设。</w:t>
      </w:r>
      <w:r>
        <w:rPr>
          <w:rFonts w:hint="eastAsia"/>
          <w:b/>
          <w:bCs/>
          <w:szCs w:val="32"/>
        </w:rPr>
        <w:t>健全废弃物循环利用体系。</w:t>
      </w:r>
      <w:r>
        <w:rPr>
          <w:rFonts w:hint="eastAsia"/>
          <w:szCs w:val="32"/>
        </w:rPr>
        <w:t>健全城市生活垃圾分类制度，完善城镇及乡村生活垃圾处理和固体废物处置收费标准，健全垃圾处理分类减量化激励机制。重点实施县城垃圾无害化处理工程，推进松宗镇及多吉乡垃圾无害化处理工程，重点研究康玉乡垃圾转运及处理设施独立建设。推进波密县建筑垃圾消纳及再利用工程，新建餐厨垃圾处理设施，提升餐厨垃圾处置能力。提升乡镇垃圾收集及资源化处置能力，逐步构建系统完善的固废分类收运、处置和循环利用体系。协调林芝市及周边县区，</w:t>
      </w:r>
      <w:r>
        <w:rPr>
          <w:rFonts w:hint="eastAsia"/>
          <w:bCs/>
          <w:szCs w:val="32"/>
        </w:rPr>
        <w:t>改善医废处理方式，实现乡镇卫生院医疗废物收集处置全覆盖，加强化学性、药物性以及病理性医废等危险废物规范化管理。</w:t>
      </w:r>
      <w:r>
        <w:rPr>
          <w:rFonts w:hint="eastAsia"/>
          <w:b/>
          <w:bCs/>
          <w:szCs w:val="32"/>
        </w:rPr>
        <w:t>开展高原“无废”旅游建设试点。</w:t>
      </w:r>
      <w:r>
        <w:rPr>
          <w:rFonts w:hint="eastAsia"/>
          <w:szCs w:val="32"/>
        </w:rPr>
        <w:t>将“无废理念”融入国家生态文明高地建设，充分发挥旅游业对绿色发展的推动作用，助力高原生态旅游示范区建设。</w:t>
      </w:r>
      <w:r>
        <w:rPr>
          <w:rFonts w:hint="eastAsia"/>
          <w:bCs/>
          <w:szCs w:val="32"/>
        </w:rPr>
        <w:t>聚焦藏猪、茶叶等特色农牧产品，打造林芝市高原“无废农场”样板。</w:t>
      </w:r>
    </w:p>
    <w:p>
      <w:pPr>
        <w:rPr>
          <w:rFonts w:eastAsia="楷体_GB2312"/>
          <w:b/>
          <w:bCs/>
          <w:szCs w:val="32"/>
        </w:rPr>
      </w:pPr>
      <w:r>
        <w:rPr>
          <w:rFonts w:eastAsia="楷体_GB2312" w:hint="eastAsia"/>
          <w:b/>
          <w:bCs/>
          <w:szCs w:val="32"/>
        </w:rPr>
        <w:t>推动生态产品价值实现。</w:t>
      </w:r>
      <w:r>
        <w:rPr>
          <w:rFonts w:hint="eastAsia"/>
          <w:szCs w:val="32"/>
        </w:rPr>
        <w:t>以林芝市生态产品价值实现机制试点为契机，摸清县域内各类生态产品数量、质量等底数，形成生态产品目录清单。</w:t>
      </w:r>
      <w:r>
        <w:rPr>
          <w:szCs w:val="32"/>
        </w:rPr>
        <w:t>立足资源优势，做足碳汇前期准备，成立碳汇开发工作领导小组，扎实推进波密县林草碳汇本底调查和试点工作，高标准高质量抓好碳汇开发前期准备工作，加强林草碳汇项目开发风险防范工作，推动碳汇项目迅速落地。鼓励市场参与，拓展“碳汇＋”应用场景，积极拓展 “碳汇＋金融”等多种模式，丰富碳中和应用场景，鼓励农业碳汇试点建设，将碳汇权益与金融服务紧密结合，实现碳汇“可度量、可交易、可变现”，将生态资源转化为经济资源</w:t>
      </w:r>
      <w:r>
        <w:rPr>
          <w:szCs w:val="30"/>
        </w:rPr>
        <w:t>。</w:t>
      </w:r>
    </w:p>
    <w:tbl>
      <w:tblPr>
        <w:jc w:val="center"/>
        <w:tblW w:w="8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391"/>
      </w:tblGrid>
      <w:tr>
        <w:trPr>
          <w:trHeight w:val="70"/>
        </w:trPr>
        <w:tc>
          <w:tcPr>
            <w:tcW w:w="8391" w:type="dxa"/>
            <w:shd w:val="clear" w:color="auto" w:fill="C6D9F1"/>
            <w:vAlign w:val="center"/>
          </w:tcPr>
          <w:p>
            <w:pPr>
              <w:spacing w:line="240" w:lineRule="auto"/>
              <w:ind w:firstLineChars="0" w:firstLine="0"/>
              <w:jc w:val="center"/>
              <w:rPr>
                <w:rFonts w:ascii="方正楷体_GBK" w:eastAsia="方正楷体_GBK"/>
                <w:sz w:val="18"/>
                <w:szCs w:val="18"/>
              </w:rPr>
            </w:pPr>
            <w:r>
              <w:rPr>
                <w:rFonts w:ascii="方正楷体_GBK" w:eastAsia="方正楷体_GBK" w:hint="eastAsia"/>
                <w:sz w:val="18"/>
                <w:szCs w:val="18"/>
              </w:rPr>
              <w:t>专栏22   推动绿色低碳发展</w:t>
            </w:r>
          </w:p>
        </w:tc>
      </w:tr>
      <w:tr>
        <w:trPr>
          <w:trHeight w:val="979"/>
        </w:trPr>
        <w:tc>
          <w:tcPr>
            <w:tcW w:w="8391" w:type="dxa"/>
            <w:shd w:val="clear" w:color="auto" w:fill="CCECFF"/>
            <w:vAlign w:val="center"/>
          </w:tcPr>
          <w:p>
            <w:pPr>
              <w:spacing w:line="240" w:lineRule="auto"/>
              <w:ind w:rightChars="-31" w:right="-65"/>
              <w:rPr>
                <w:rFonts w:eastAsia="方正楷体_GBK"/>
                <w:sz w:val="18"/>
                <w:szCs w:val="18"/>
              </w:rPr>
            </w:pPr>
            <w:r>
              <w:rPr>
                <w:rFonts w:eastAsia="方正楷体_GBK"/>
                <w:sz w:val="18"/>
                <w:szCs w:val="18"/>
              </w:rPr>
              <w:t>01</w:t>
            </w:r>
            <w:r>
              <w:rPr>
                <w:rFonts w:eastAsia="方正楷体_GBK" w:hint="eastAsia"/>
                <w:sz w:val="18"/>
                <w:szCs w:val="18"/>
              </w:rPr>
              <w:t>推进波密“无废县区”建设</w:t>
            </w:r>
          </w:p>
          <w:p>
            <w:pPr>
              <w:spacing w:line="240" w:lineRule="auto"/>
              <w:rPr>
                <w:rFonts w:eastAsia="方正仿宋_GBK"/>
                <w:sz w:val="18"/>
                <w:szCs w:val="18"/>
              </w:rPr>
            </w:pPr>
            <w:r>
              <w:rPr>
                <w:rFonts w:eastAsia="方正仿宋_GBK" w:hint="eastAsia"/>
                <w:sz w:val="18"/>
                <w:szCs w:val="18"/>
              </w:rPr>
              <w:t>实施松宗镇及多吉乡垃圾无害化处理工程、县城生活垃圾无害化处理工程、波密县建筑垃圾循环利用工程。</w:t>
            </w:r>
          </w:p>
        </w:tc>
      </w:tr>
    </w:tbl>
    <w:p>
      <w:bookmarkStart w:id="409" w:name="_Toc218406275"/>
      <w:r>
        <w:br w:type="page"/>
      </w:r>
    </w:p>
    <w:p>
      <w:pPr>
        <w:pStyle w:val="1"/>
        <w:spacing w:after="190" w:line="576" w:lineRule="exact"/>
      </w:pPr>
      <w:bookmarkStart w:id="410" w:name="_Toc223858457"/>
      <w:r>
        <w:rPr>
          <w:rFonts w:hint="eastAsia"/>
        </w:rPr>
        <w:t>第十二章</w:t>
      </w:r>
      <w:r>
        <w:t xml:space="preserve"> </w:t>
      </w:r>
      <w:r>
        <w:rPr>
          <w:rFonts w:hint="eastAsia"/>
        </w:rPr>
        <w:t>凝心铸魂，强化规划实施保障</w:t>
      </w:r>
      <w:bookmarkEnd w:id="409"/>
      <w:bookmarkEnd w:id="410"/>
    </w:p>
    <w:p>
      <w:pPr>
        <w:pStyle w:val="2"/>
        <w:spacing w:after="190" w:line="576" w:lineRule="exact"/>
      </w:pPr>
      <w:bookmarkStart w:id="411" w:name="_Toc218406276"/>
      <w:bookmarkStart w:id="412" w:name="_Toc223858458"/>
      <w:r>
        <w:rPr>
          <w:rFonts w:hint="eastAsia"/>
        </w:rPr>
        <w:t>第一节</w:t>
      </w:r>
      <w:r>
        <w:t xml:space="preserve"> </w:t>
      </w:r>
      <w:r>
        <w:rPr>
          <w:rFonts w:hint="eastAsia"/>
        </w:rPr>
        <w:t>坚持党的核心领导地位</w:t>
      </w:r>
      <w:bookmarkEnd w:id="411"/>
      <w:bookmarkEnd w:id="412"/>
    </w:p>
    <w:p>
      <w:pPr>
        <w:rPr>
          <w:szCs w:val="32"/>
        </w:rPr>
      </w:pPr>
      <w:r>
        <w:rPr>
          <w:rFonts w:eastAsia="楷体_GB2312" w:hint="eastAsia"/>
          <w:b/>
          <w:szCs w:val="32"/>
        </w:rPr>
        <w:t>发挥党的领导核心作用。</w:t>
      </w:r>
      <w:r>
        <w:rPr>
          <w:rFonts w:hint="eastAsia"/>
          <w:szCs w:val="32"/>
        </w:rPr>
        <w:t>充分发挥党总揽全局、协调各方的领导核心作用，坚定维护以习近平总书记为核心的党中央权威和集中统一领导，确保各项决策部署落地生根。完善研究经济社会发展战略、定期分析经济形势、研究重大方针政策的工作机制，加强对经济社会发展的总体设计、统筹协调、整体推进、督促落实，推动党领导经济社会发展制度化规范化程序化。坚持党的领导、人民当家作主、依法治国有机统一，完善大统战工作格局，健全协商民主机制。发挥群团组织桥梁纽带作用，巩固最广泛的爱国统一战线，最大限度凝聚社会共识与发展力量。</w:t>
      </w:r>
    </w:p>
    <w:p>
      <w:pPr>
        <w:rPr>
          <w:szCs w:val="32"/>
        </w:rPr>
      </w:pPr>
      <w:r>
        <w:rPr>
          <w:rFonts w:eastAsia="楷体_GB2312" w:hint="eastAsia"/>
          <w:b/>
          <w:szCs w:val="32"/>
        </w:rPr>
        <w:t>持之以恒推进全面从严治党。</w:t>
      </w:r>
      <w:r>
        <w:rPr>
          <w:rFonts w:hint="eastAsia"/>
          <w:szCs w:val="32"/>
        </w:rPr>
        <w:t>认真落实全面从严治党政治责任，一体推进不敢腐、不能腐、不想腐，全面铲除腐败滋生土壤。锲而不舍落实中央八项规定及其实施细则精神，坚决整治形式主义、官僚主义，推进作风建设常态化长效化。强化权力运行监督，营造风清气正的政治生态。健全基层治理责任落实机制，推动基层党组织与各类治理力量深度融合，将组织优势转化为治理效能。坚持正风肃纪反腐相贯通，持续为基层减负赋能增效，以严明纪律和优良作风为现代化建设提供坚强保障。</w:t>
      </w:r>
    </w:p>
    <w:p>
      <w:pPr>
        <w:pStyle w:val="2"/>
        <w:spacing w:after="190" w:line="576" w:lineRule="exact"/>
      </w:pPr>
      <w:bookmarkStart w:id="413" w:name="_Toc218406277"/>
      <w:bookmarkStart w:id="414" w:name="_Toc223858459"/>
      <w:r>
        <w:rPr>
          <w:rFonts w:hint="eastAsia"/>
        </w:rPr>
        <w:t>第二节</w:t>
      </w:r>
      <w:r>
        <w:t xml:space="preserve"> </w:t>
      </w:r>
      <w:r>
        <w:rPr>
          <w:rFonts w:hint="eastAsia"/>
        </w:rPr>
        <w:t>加强党的组织建设</w:t>
      </w:r>
      <w:bookmarkEnd w:id="413"/>
      <w:bookmarkEnd w:id="414"/>
    </w:p>
    <w:p>
      <w:pPr>
        <w:rPr>
          <w:szCs w:val="32"/>
        </w:rPr>
      </w:pPr>
      <w:r>
        <w:rPr>
          <w:rFonts w:eastAsia="楷体_GB2312" w:hint="eastAsia"/>
          <w:b/>
          <w:bCs/>
          <w:szCs w:val="21"/>
        </w:rPr>
        <w:t>加强基层党组织建设。</w:t>
      </w:r>
      <w:r>
        <w:rPr>
          <w:szCs w:val="21"/>
        </w:rPr>
        <w:t>以提升组织力为重点，严格落实基层党建工作责任制，推动基层党组织标准化规范化建设提质增效。创新“党建+”工作模式，推动党建工作与业务工作深度融合，切实把基层党组织建设成为贯彻落实决策部署的坚强战斗堡垒。</w:t>
      </w:r>
      <w:r>
        <w:rPr>
          <w:rFonts w:hint="eastAsia"/>
          <w:szCs w:val="21"/>
        </w:rPr>
        <w:t>持续深化基层党组织标准化规范化建设，将组织体系延伸至产业链、社区网格与乡村振兴一线，充分发挥基层党组织战斗堡垒和党员先锋模范作用。</w:t>
      </w:r>
      <w:r>
        <w:rPr>
          <w:rFonts w:hint="eastAsia"/>
          <w:szCs w:val="32"/>
        </w:rPr>
        <w:t>完善上下贯通、执行有力的组织体系，健全党委定期分析经济形势、研究重大政策的工作机制。建立上下协同、顺畅高效的领导体制，确保以高质量党建引领高质量发展。</w:t>
      </w:r>
    </w:p>
    <w:p>
      <w:pPr>
        <w:rPr>
          <w:rFonts w:eastAsia="楷体_GB2312"/>
          <w:b/>
          <w:szCs w:val="32"/>
        </w:rPr>
      </w:pPr>
      <w:r>
        <w:rPr>
          <w:rFonts w:eastAsia="楷体_GB2312" w:hint="eastAsia"/>
          <w:b/>
          <w:szCs w:val="32"/>
        </w:rPr>
        <w:t>加强干部队伍建设。</w:t>
      </w:r>
      <w:r>
        <w:rPr>
          <w:szCs w:val="21"/>
        </w:rPr>
        <w:t>突出政治标准首位要求，持续强化理想信念教育。</w:t>
      </w:r>
      <w:bookmarkStart w:id="415" w:name="OLE_LINK392"/>
      <w:r>
        <w:rPr>
          <w:szCs w:val="21"/>
        </w:rPr>
        <w:t>坚持新时代好干部标准与民族地区“四个特别”要求，健全能上能下用人机制，树立凭能力用干部、以实绩论英雄的鲜明导向。深入实施人才“育引用留”工程，加强干部思想淬炼与专业训练，提升应对复杂局面的能力。</w:t>
      </w:r>
      <w:bookmarkEnd w:id="415"/>
      <w:r>
        <w:rPr>
          <w:rFonts w:hint="eastAsia"/>
          <w:szCs w:val="21"/>
        </w:rPr>
        <w:t>聚焦战略任务，精准搭建干部成长阶梯，围绕现代化产业体系、科技创新等重点领域开展靶向培训。</w:t>
      </w:r>
    </w:p>
    <w:p>
      <w:pPr>
        <w:pStyle w:val="2"/>
        <w:spacing w:after="190" w:line="576" w:lineRule="exact"/>
      </w:pPr>
      <w:bookmarkStart w:id="416" w:name="_Toc218406278"/>
      <w:bookmarkStart w:id="417" w:name="_Toc223858460"/>
      <w:r>
        <w:rPr>
          <w:rFonts w:hint="eastAsia"/>
        </w:rPr>
        <w:t>第三节</w:t>
      </w:r>
      <w:r>
        <w:t xml:space="preserve"> </w:t>
      </w:r>
      <w:r>
        <w:rPr>
          <w:rFonts w:hint="eastAsia"/>
        </w:rPr>
        <w:t>加强各类规划衔接协调</w:t>
      </w:r>
      <w:bookmarkEnd w:id="416"/>
      <w:bookmarkEnd w:id="417"/>
    </w:p>
    <w:p>
      <w:pPr>
        <w:rPr>
          <w:szCs w:val="32"/>
        </w:rPr>
      </w:pPr>
      <w:r>
        <w:rPr>
          <w:rFonts w:eastAsia="楷体_GB2312" w:hint="eastAsia"/>
          <w:b/>
          <w:szCs w:val="32"/>
        </w:rPr>
        <w:t>强化年度计划与五年规划的衔接。</w:t>
      </w:r>
      <w:r>
        <w:rPr>
          <w:rFonts w:hint="eastAsia"/>
          <w:szCs w:val="32"/>
        </w:rPr>
        <w:t>按照短期调控目标服从长期发展目标、短期政策与长期政策衔接配合的要求，将“十五五”规划纲要确定的主要指标分解纳入年度指标体系并做好年度间综合平衡，按照纲要明确的发展方向，确定年度工作重点，通过滚动实施确保五年目标任务如期实现。合理设定和控制区域环境容量，确保生态环境政策对维护区域良性循环、经济可持续发展的促进作用。“十五五”规划纲要发挥公共预算、金融信贷、国土开发、公共服务、产业发展等的引导功能和统筹功能，提升规划实施的推进、协调和执行能力。</w:t>
      </w:r>
    </w:p>
    <w:p>
      <w:pPr>
        <w:rPr>
          <w:szCs w:val="32"/>
        </w:rPr>
      </w:pPr>
      <w:r>
        <w:rPr>
          <w:rFonts w:eastAsia="楷体_GB2312" w:hint="eastAsia"/>
          <w:b/>
          <w:szCs w:val="32"/>
        </w:rPr>
        <w:t>强化重大项目对规划实施的支撑。</w:t>
      </w:r>
      <w:r>
        <w:rPr>
          <w:rFonts w:hint="eastAsia"/>
          <w:szCs w:val="32"/>
        </w:rPr>
        <w:t>构建与国家重大工程、重要战略深度融合的规划实施机制，增强国家战略的宏观引导和统筹协调功能。聚焦长远发展的大战略、跨部门跨行业的大政策、具有全局性影响的跨区域大项目，增强发展规划的统领和指导功能。明确总体规划、专项规划和区域规划的定位，确保各类规划在功能上的互补和协调。促进政策间的统筹协调，围绕实施国家战略和国家、自治区、林芝市发展规划，确保“十五五”期间能最大化地发挥国家和地方政策优势。严格重点专项规划编制目录清单制度，与同级发展规划、空间规划形成规划实施合力。</w:t>
      </w:r>
    </w:p>
    <w:p>
      <w:pPr>
        <w:rPr>
          <w:szCs w:val="32"/>
        </w:rPr>
      </w:pPr>
      <w:r>
        <w:rPr>
          <w:rFonts w:eastAsia="楷体_GB2312" w:hint="eastAsia"/>
          <w:b/>
          <w:szCs w:val="32"/>
        </w:rPr>
        <w:t>强化各类政策与规划实施协同。</w:t>
      </w:r>
      <w:r>
        <w:rPr>
          <w:rFonts w:hint="eastAsia"/>
          <w:szCs w:val="32"/>
        </w:rPr>
        <w:t>加强财政预算与同级发展规划实施的衔接协调，合理安排财政支出规模和结构，坚持“项目跟着规划走、资金要素跟着项目走”，对纳入“十五五”规划纲要的重大工程项目，简化审批核准程序，优先保障规划选址、土地供应和资金安排，财政性资金优先投向纲要确定的重大任务和重大工程项目。</w:t>
      </w:r>
    </w:p>
    <w:p>
      <w:pPr>
        <w:pStyle w:val="2"/>
        <w:spacing w:after="190" w:line="576" w:lineRule="exact"/>
      </w:pPr>
      <w:bookmarkStart w:id="418" w:name="_Toc218406279"/>
      <w:bookmarkStart w:id="419" w:name="_Toc223858461"/>
      <w:r>
        <w:rPr>
          <w:rFonts w:hint="eastAsia"/>
        </w:rPr>
        <w:t>第四节</w:t>
      </w:r>
      <w:r>
        <w:t xml:space="preserve"> 健全规划编制执行机制</w:t>
      </w:r>
      <w:bookmarkEnd w:id="418"/>
      <w:bookmarkEnd w:id="419"/>
    </w:p>
    <w:p>
      <w:pPr>
        <w:rPr>
          <w:szCs w:val="32"/>
        </w:rPr>
      </w:pPr>
      <w:r>
        <w:rPr>
          <w:rFonts w:eastAsia="楷体_GB2312" w:hint="eastAsia"/>
          <w:b/>
          <w:szCs w:val="32"/>
        </w:rPr>
        <w:t>强化党政会议对规划编制的指导。</w:t>
      </w:r>
      <w:r>
        <w:rPr>
          <w:rFonts w:hint="eastAsia"/>
          <w:b/>
          <w:bCs/>
          <w:szCs w:val="32"/>
        </w:rPr>
        <w:t>落实重大会议对规划编制的指导和衔接</w:t>
      </w:r>
      <w:r>
        <w:rPr>
          <w:rFonts w:hint="eastAsia"/>
          <w:szCs w:val="32"/>
        </w:rPr>
        <w:t>。按照党的二十届四中全会、自治区党委十届九次全会、市委二届九次全会、县委十届九次全会精神，结合实际科学制定县“十五五”规划纲要和专项规划，形成定位准确、边界清晰、功能互补、统一衔接的规划体系。</w:t>
      </w:r>
      <w:r>
        <w:rPr>
          <w:rFonts w:hint="eastAsia"/>
          <w:b/>
          <w:bCs/>
          <w:szCs w:val="32"/>
        </w:rPr>
        <w:t>落实规划目标分工责任制</w:t>
      </w:r>
      <w:r>
        <w:rPr>
          <w:rFonts w:hint="eastAsia"/>
          <w:szCs w:val="32"/>
        </w:rPr>
        <w:t>。加强规划实施监督评估，切实增强规划实施的系统性、整体性、协同性。用足用好用活中央、自治区和林芝市支持的特殊优惠政策，主动加强政策对接和项目储备，确保各项政策精准落地、全面见效。</w:t>
      </w:r>
    </w:p>
    <w:p>
      <w:pPr>
        <w:rPr>
          <w:szCs w:val="32"/>
        </w:rPr>
      </w:pPr>
      <w:r>
        <w:rPr>
          <w:rFonts w:eastAsia="楷体_GB2312" w:hint="eastAsia"/>
          <w:b/>
          <w:szCs w:val="32"/>
        </w:rPr>
        <w:t>建立规划编审全流程溯源管理制度。</w:t>
      </w:r>
      <w:r>
        <w:rPr>
          <w:rFonts w:hint="eastAsia"/>
          <w:szCs w:val="32"/>
        </w:rPr>
        <w:t>实行规划编制、审批、修改和实施的</w:t>
      </w:r>
      <w:r>
        <w:rPr>
          <w:rFonts w:hint="eastAsia"/>
        </w:rPr>
        <w:t>全流程溯源管理</w:t>
      </w:r>
      <w:r>
        <w:rPr>
          <w:rFonts w:hint="eastAsia"/>
          <w:szCs w:val="32"/>
        </w:rPr>
        <w:t>，确保规划管理行为全过程可回溯、可查询。加强监测评估机制，进一步健全“年度监测分析</w:t>
      </w:r>
      <w:r>
        <w:rPr>
          <w:szCs w:val="32"/>
        </w:rPr>
        <w:t>-</w:t>
      </w:r>
      <w:r>
        <w:rPr>
          <w:rFonts w:hint="eastAsia"/>
          <w:szCs w:val="32"/>
        </w:rPr>
        <w:t>中期评估</w:t>
      </w:r>
      <w:r>
        <w:rPr>
          <w:szCs w:val="32"/>
        </w:rPr>
        <w:t>-</w:t>
      </w:r>
      <w:r>
        <w:rPr>
          <w:rFonts w:hint="eastAsia"/>
          <w:szCs w:val="32"/>
        </w:rPr>
        <w:t>总体评估”的规划评估体系，将评估结果作为改进政府工作和绩效考核的重要依据，并适时向社会公开评估报告。加强对规划实施的组织、协调和督导，将规划执行情况纳入执法督察内容，对新增违法违规建设“零容忍”。对历史遗留问题全面梳理，依法依规分类加快处置。构建完备有效的监管体系，处理好发展和监管的关系，丰富监管主体、理顺监管关系、优化监管内容、拓展监管方式，健全“十五五”期间全周期责任体系。</w:t>
      </w:r>
    </w:p>
    <w:p>
      <w:pPr>
        <w:rPr>
          <w:szCs w:val="32"/>
        </w:rPr>
      </w:pPr>
      <w:r>
        <w:rPr>
          <w:rFonts w:eastAsia="楷体_GB2312" w:hint="eastAsia"/>
          <w:b/>
          <w:szCs w:val="32"/>
        </w:rPr>
        <w:t>把项目推进作为规划实施的重要目的</w:t>
      </w:r>
      <w:r>
        <w:rPr>
          <w:rFonts w:hint="eastAsia"/>
          <w:szCs w:val="32"/>
        </w:rPr>
        <w:t>。以规划带动项目建设，以项目促进规划落实，优化资源配置和利用，支持重大项目的战略目标。确保项目与目标一致性，各部门的项目应以国家重大项目为方向，围绕重大项目确定可行项目，使项目成果能够有效地支持重大项目的战略目标。科学谋划重大项目，加强重大项目管理，强化要素保障，通过优化土地政策工具运用、合理分配人力物力财力资源等方式，保证各项目能够及时开工建设，确保项目按时完成。</w:t>
      </w:r>
    </w:p>
    <w:p>
      <w:pPr>
        <w:widowControl/>
        <w:spacing w:line="576" w:lineRule="exact"/>
        <w:ind w:firstLineChars="0" w:firstLine="0"/>
        <w:jc w:val="left"/>
        <w:rPr>
          <w:rFonts w:eastAsia="方正黑体_GBK"/>
          <w:b/>
          <w:bCs/>
          <w:sz w:val="44"/>
          <w:szCs w:val="44"/>
        </w:rPr>
      </w:pPr>
      <w:r>
        <w:rPr>
          <w:rFonts w:eastAsia="方正黑体_GBK"/>
          <w:sz w:val="44"/>
          <w:szCs w:val="44"/>
        </w:rPr>
        <w:br w:type="page"/>
      </w:r>
    </w:p>
    <w:p>
      <w:pPr>
        <w:pStyle w:val="2"/>
        <w:spacing w:after="190" w:line="576" w:lineRule="exact"/>
        <w:rPr>
          <w:rFonts w:eastAsia="方正黑体_GBK"/>
          <w:b w:val="0"/>
          <w:bCs w:val="0"/>
          <w:sz w:val="28"/>
          <w:szCs w:val="28"/>
        </w:rPr>
      </w:pPr>
      <w:bookmarkStart w:id="420" w:name="_Toc223858462"/>
      <w:r>
        <w:rPr>
          <w:rFonts w:eastAsia="方正黑体_GBK" w:hint="eastAsia"/>
          <w:b w:val="0"/>
          <w:bCs w:val="0"/>
          <w:sz w:val="28"/>
          <w:szCs w:val="28"/>
        </w:rPr>
        <w:t>主要名词解释</w:t>
      </w:r>
      <w:bookmarkEnd w:id="420"/>
    </w:p>
    <w:p>
      <w:pPr>
        <w:rPr>
          <w:szCs w:val="22"/>
        </w:rPr>
      </w:pPr>
      <w:r>
        <w:rPr>
          <w:rFonts w:eastAsia="黑体" w:cs="黑体" w:hint="eastAsia"/>
          <w:szCs w:val="22"/>
        </w:rPr>
        <w:t>1.两个确立：</w:t>
      </w:r>
      <w:r>
        <w:rPr>
          <w:rFonts w:hint="eastAsia"/>
          <w:szCs w:val="22"/>
        </w:rPr>
        <w:t>确立习近平同志党中央的核心、全党的核心地位，确立习近平新时代中国特色社会主义思想的指导地位。</w:t>
      </w:r>
    </w:p>
    <w:p>
      <w:pPr>
        <w:rPr>
          <w:szCs w:val="22"/>
        </w:rPr>
      </w:pPr>
      <w:r>
        <w:rPr>
          <w:rFonts w:eastAsia="黑体" w:cs="黑体" w:hint="eastAsia"/>
          <w:szCs w:val="22"/>
        </w:rPr>
        <w:t>2.四个意识：</w:t>
      </w:r>
      <w:r>
        <w:rPr>
          <w:rFonts w:hint="eastAsia"/>
          <w:szCs w:val="22"/>
        </w:rPr>
        <w:t>政治意识、大局意识、核心意识、看齐意识。</w:t>
      </w:r>
    </w:p>
    <w:p>
      <w:pPr>
        <w:rPr>
          <w:szCs w:val="22"/>
        </w:rPr>
      </w:pPr>
      <w:r>
        <w:rPr>
          <w:rFonts w:eastAsia="黑体" w:cs="黑体" w:hint="eastAsia"/>
          <w:szCs w:val="22"/>
        </w:rPr>
        <w:t>3.四个自信：</w:t>
      </w:r>
      <w:r>
        <w:rPr>
          <w:rFonts w:hint="eastAsia"/>
          <w:szCs w:val="22"/>
        </w:rPr>
        <w:t>道路自信、理论自信、制度自信、文化自信。</w:t>
      </w:r>
    </w:p>
    <w:p>
      <w:pPr>
        <w:rPr>
          <w:szCs w:val="22"/>
        </w:rPr>
      </w:pPr>
      <w:r>
        <w:rPr>
          <w:rFonts w:eastAsia="黑体" w:cs="黑体" w:hint="eastAsia"/>
          <w:szCs w:val="22"/>
        </w:rPr>
        <w:t>4.两个维护：</w:t>
      </w:r>
      <w:r>
        <w:rPr>
          <w:rFonts w:hint="eastAsia"/>
          <w:szCs w:val="22"/>
        </w:rPr>
        <w:t>坚决维护习近平总书记党中央的核心、全党的核心地位，坚决维护党中央的权威和集中统一领导。</w:t>
      </w:r>
    </w:p>
    <w:p>
      <w:pPr>
        <w:rPr>
          <w:szCs w:val="22"/>
        </w:rPr>
      </w:pPr>
      <w:r>
        <w:rPr>
          <w:rFonts w:eastAsia="黑体" w:cs="黑体" w:hint="eastAsia"/>
          <w:szCs w:val="22"/>
        </w:rPr>
        <w:t>5.到2035人均GDP达到中等发达国家水平。</w:t>
      </w:r>
      <w:r>
        <w:rPr>
          <w:rFonts w:hint="eastAsia"/>
          <w:szCs w:val="22"/>
        </w:rPr>
        <w:t>按照国家“十五五”规划建议要求，需要到2035年人均GDP超过中等发达国家门槛（即达到2万美元以上）。经测算，“十五五”期间全市常住人口有望达到30万人以上，人均GDP有望达到人民币14. 3万元，按照当前美元汇率6.84计算，2030年人均GDP有望达到2.09万美元以上，率先达到中等发达国家水平。</w:t>
      </w:r>
    </w:p>
    <w:p>
      <w:pPr>
        <w:rPr>
          <w:szCs w:val="22"/>
        </w:rPr>
      </w:pPr>
      <w:r>
        <w:rPr>
          <w:rFonts w:eastAsia="黑体" w:cs="黑体" w:hint="eastAsia"/>
          <w:szCs w:val="22"/>
        </w:rPr>
        <w:t>6.“11364”发展思路：</w:t>
      </w:r>
      <w:r>
        <w:rPr>
          <w:rFonts w:hint="eastAsia"/>
          <w:szCs w:val="22"/>
        </w:rPr>
        <w:t>林芝市二届市委确定的发展总体思路，具体指：以把林芝建设成全区改革开放先行区为引领，重点做强巴宜区1个核心增长极，打造川藏铁路发展带、雅江下游发展带、边境沿线发展带3个发展带，推动米林、工布江达、波密、朗县、察隅、墨脱6县县域经济组团式发展，在着力创建全国民族团结进步模范区、高原经济高质量发展先行区、国家生态文明高地、国家固边兴边富民行动示范区工作中走在全区前列。</w:t>
      </w:r>
    </w:p>
    <w:p>
      <w:pPr>
        <w:rPr>
          <w:szCs w:val="22"/>
        </w:rPr>
      </w:pPr>
      <w:r>
        <w:rPr>
          <w:rFonts w:eastAsia="黑体" w:cs="黑体"/>
          <w:szCs w:val="22"/>
        </w:rPr>
        <w:t>7</w:t>
      </w:r>
      <w:r>
        <w:rPr>
          <w:rFonts w:eastAsia="黑体" w:cs="黑体" w:hint="eastAsia"/>
          <w:szCs w:val="22"/>
        </w:rPr>
        <w:t>.“四件大事”：</w:t>
      </w:r>
      <w:r>
        <w:rPr>
          <w:rFonts w:hint="eastAsia"/>
          <w:szCs w:val="22"/>
        </w:rPr>
        <w:t>西藏工作的总抓手，即稳定、发展、生态、强边。这是编制“十五五”规划的根本遵循，所有发展任务都围绕其展开。</w:t>
      </w:r>
    </w:p>
    <w:p>
      <w:pPr>
        <w:rPr>
          <w:szCs w:val="22"/>
        </w:rPr>
      </w:pPr>
      <w:r>
        <w:rPr>
          <w:rFonts w:eastAsia="黑体" w:cs="黑体"/>
          <w:szCs w:val="22"/>
        </w:rPr>
        <w:t>8</w:t>
      </w:r>
      <w:r>
        <w:rPr>
          <w:rFonts w:eastAsia="黑体" w:cs="黑体" w:hint="eastAsia"/>
          <w:szCs w:val="22"/>
        </w:rPr>
        <w:t>.“四个创建”：</w:t>
      </w:r>
      <w:r>
        <w:rPr>
          <w:rFonts w:hint="eastAsia"/>
          <w:szCs w:val="22"/>
        </w:rPr>
        <w:t>着力创建全国民族团结进步模范区、着力创建高原经济高质量发展先行区、着力创建国家生态文明高地、着力创建国家固边兴边富民行动示范区。</w:t>
      </w:r>
    </w:p>
    <w:p>
      <w:pPr>
        <w:rPr>
          <w:szCs w:val="22"/>
        </w:rPr>
      </w:pPr>
      <w:r>
        <w:rPr>
          <w:rFonts w:eastAsia="黑体" w:cs="黑体"/>
          <w:szCs w:val="22"/>
        </w:rPr>
        <w:t>9</w:t>
      </w:r>
      <w:r>
        <w:rPr>
          <w:rFonts w:eastAsia="黑体" w:cs="黑体" w:hint="eastAsia"/>
          <w:szCs w:val="22"/>
        </w:rPr>
        <w:t>.三个意识：</w:t>
      </w:r>
      <w:r>
        <w:rPr>
          <w:rFonts w:hint="eastAsia"/>
          <w:szCs w:val="22"/>
        </w:rPr>
        <w:t>国家意识、公民意识、法治意识。</w:t>
      </w:r>
    </w:p>
    <w:p>
      <w:pPr>
        <w:rPr>
          <w:szCs w:val="22"/>
        </w:rPr>
      </w:pPr>
      <w:r>
        <w:rPr>
          <w:rFonts w:eastAsia="黑体" w:cs="黑体" w:hint="eastAsia"/>
          <w:szCs w:val="22"/>
        </w:rPr>
        <w:t>1</w:t>
      </w:r>
      <w:r>
        <w:rPr>
          <w:rFonts w:eastAsia="黑体" w:cs="黑体"/>
          <w:szCs w:val="22"/>
        </w:rPr>
        <w:t>0</w:t>
      </w:r>
      <w:r>
        <w:rPr>
          <w:rFonts w:eastAsia="黑体" w:cs="黑体" w:hint="eastAsia"/>
          <w:szCs w:val="22"/>
        </w:rPr>
        <w:t>.三个赋予一个有利于：</w:t>
      </w:r>
      <w:r>
        <w:rPr>
          <w:rFonts w:hint="eastAsia"/>
          <w:szCs w:val="22"/>
        </w:rPr>
        <w:t>所有发展都要赋予民族团结进步的意义，都要赋予维护统一、反对分裂的意义，都要赋予改善民生、凝聚人心的意义，都要有利于提升各族群众获得感、幸福感、安全感。</w:t>
      </w:r>
    </w:p>
    <w:p>
      <w:pPr>
        <w:rPr>
          <w:szCs w:val="22"/>
        </w:rPr>
      </w:pPr>
      <w:r>
        <w:rPr>
          <w:rFonts w:eastAsia="黑体" w:cs="黑体" w:hint="eastAsia"/>
          <w:szCs w:val="22"/>
        </w:rPr>
        <w:t>1</w:t>
      </w:r>
      <w:r>
        <w:rPr>
          <w:rFonts w:eastAsia="黑体" w:cs="黑体"/>
          <w:szCs w:val="22"/>
        </w:rPr>
        <w:t>2</w:t>
      </w:r>
      <w:r>
        <w:rPr>
          <w:rFonts w:eastAsia="黑体" w:cs="黑体" w:hint="eastAsia"/>
          <w:szCs w:val="22"/>
        </w:rPr>
        <w:t>.五共五固：</w:t>
      </w:r>
      <w:r>
        <w:rPr>
          <w:rFonts w:hint="eastAsia"/>
          <w:szCs w:val="22"/>
        </w:rPr>
        <w:t>共学党的理论固信仰信念；共建基层组织固一线堡垒；共促民生改善固脱贫成果；共树文明新风固民族团结；共守神圣国土固边境安宁。</w:t>
      </w:r>
    </w:p>
    <w:p>
      <w:pPr>
        <w:rPr>
          <w:szCs w:val="22"/>
        </w:rPr>
      </w:pPr>
      <w:r>
        <w:rPr>
          <w:rFonts w:eastAsia="黑体" w:cs="黑体" w:hint="eastAsia"/>
          <w:szCs w:val="22"/>
        </w:rPr>
        <w:t>1</w:t>
      </w:r>
      <w:r>
        <w:rPr>
          <w:rFonts w:eastAsia="黑体" w:cs="黑体"/>
          <w:szCs w:val="22"/>
        </w:rPr>
        <w:t>3</w:t>
      </w:r>
      <w:r>
        <w:rPr>
          <w:rFonts w:eastAsia="黑体" w:cs="黑体" w:hint="eastAsia"/>
          <w:szCs w:val="22"/>
        </w:rPr>
        <w:t>.无废城市：</w:t>
      </w:r>
      <w:r>
        <w:rPr>
          <w:rFonts w:hint="eastAsia"/>
          <w:szCs w:val="22"/>
        </w:rPr>
        <w:t>是指以创新、协调、绿色、开放、共享的新发展理念为引领，持续推进固体废物源头减量和资源化利用，最大程度减少固体废物处置量，将固体废物环境影响降至最低，实现绿色低碳发展的城市发展模式。</w:t>
      </w:r>
    </w:p>
    <w:p>
      <w:pPr>
        <w:rPr>
          <w:szCs w:val="22"/>
        </w:rPr>
      </w:pPr>
      <w:r>
        <w:rPr>
          <w:rFonts w:eastAsia="黑体" w:cs="黑体" w:hint="eastAsia"/>
          <w:szCs w:val="22"/>
        </w:rPr>
        <w:t>1</w:t>
      </w:r>
      <w:r>
        <w:rPr>
          <w:rFonts w:eastAsia="黑体" w:cs="黑体"/>
          <w:szCs w:val="22"/>
        </w:rPr>
        <w:t>4</w:t>
      </w:r>
      <w:r>
        <w:rPr>
          <w:rFonts w:eastAsia="黑体" w:cs="黑体" w:hint="eastAsia"/>
          <w:szCs w:val="22"/>
        </w:rPr>
        <w:t>.银发经济：</w:t>
      </w:r>
      <w:r>
        <w:rPr>
          <w:rFonts w:hint="eastAsia"/>
          <w:szCs w:val="22"/>
        </w:rPr>
        <w:t>是指向老年人提供产品或服务，以及为老龄阶段做准备的一系列经济活动的总和。</w:t>
      </w:r>
    </w:p>
    <w:p>
      <w:pPr>
        <w:rPr>
          <w:szCs w:val="22"/>
        </w:rPr>
      </w:pPr>
      <w:r>
        <w:rPr>
          <w:rFonts w:eastAsia="黑体" w:cs="黑体" w:hint="eastAsia"/>
          <w:szCs w:val="22"/>
        </w:rPr>
        <w:t>1</w:t>
      </w:r>
      <w:r>
        <w:rPr>
          <w:rFonts w:eastAsia="黑体" w:cs="黑体"/>
          <w:szCs w:val="22"/>
        </w:rPr>
        <w:t>5</w:t>
      </w:r>
      <w:r>
        <w:rPr>
          <w:rFonts w:eastAsia="黑体" w:cs="黑体" w:hint="eastAsia"/>
          <w:szCs w:val="22"/>
        </w:rPr>
        <w:t>.低空经济：</w:t>
      </w:r>
      <w:r>
        <w:rPr>
          <w:rFonts w:hint="eastAsia"/>
          <w:szCs w:val="22"/>
        </w:rPr>
        <w:t>指一种依托低空空域，以各种有人驾驶和无人驾驶航空器的飞行活动为核心，辐射并带动相关领域融合发展的综合性经济形态。</w:t>
      </w:r>
    </w:p>
    <w:p>
      <w:pPr>
        <w:rPr>
          <w:szCs w:val="22"/>
        </w:rPr>
      </w:pPr>
      <w:r>
        <w:rPr>
          <w:rFonts w:eastAsia="黑体" w:cs="黑体"/>
          <w:szCs w:val="22"/>
        </w:rPr>
        <w:t>16</w:t>
      </w:r>
      <w:r>
        <w:rPr>
          <w:rFonts w:eastAsia="黑体" w:cs="黑体" w:hint="eastAsia"/>
          <w:szCs w:val="22"/>
        </w:rPr>
        <w:t>.新质生产力：</w:t>
      </w:r>
      <w:r>
        <w:rPr>
          <w:rFonts w:hint="eastAsia"/>
          <w:szCs w:val="22"/>
        </w:rPr>
        <w:t>是指由技术革命性突破、生产要素创新性配置、产业深度转型升级而催生的当代先进生产力，以劳动者、劳动资料、劳动对象及其优化组合的质变为基本内涵，以全要素生产率提升为核心标志。</w:t>
      </w:r>
    </w:p>
    <w:p>
      <w:pPr>
        <w:rPr>
          <w:szCs w:val="22"/>
        </w:rPr>
      </w:pPr>
      <w:r>
        <w:rPr>
          <w:rFonts w:eastAsia="黑体" w:cs="黑体"/>
          <w:szCs w:val="22"/>
        </w:rPr>
        <w:t>17</w:t>
      </w:r>
      <w:r>
        <w:rPr>
          <w:rFonts w:eastAsia="黑体" w:cs="黑体" w:hint="eastAsia"/>
          <w:szCs w:val="22"/>
        </w:rPr>
        <w:t>.千万工程：</w:t>
      </w:r>
      <w:r>
        <w:rPr>
          <w:rFonts w:hint="eastAsia"/>
          <w:szCs w:val="22"/>
        </w:rPr>
        <w:t>“千村示范、万村整治”工程。</w:t>
      </w:r>
    </w:p>
    <w:p>
      <w:pPr>
        <w:rPr>
          <w:szCs w:val="22"/>
        </w:rPr>
      </w:pPr>
      <w:r>
        <w:rPr>
          <w:rFonts w:eastAsia="黑体" w:cs="黑体"/>
          <w:szCs w:val="22"/>
        </w:rPr>
        <w:t>18</w:t>
      </w:r>
      <w:r>
        <w:rPr>
          <w:rFonts w:eastAsia="黑体" w:cs="黑体" w:hint="eastAsia"/>
          <w:szCs w:val="22"/>
        </w:rPr>
        <w:t>.以工代赈：</w:t>
      </w:r>
      <w:r>
        <w:rPr>
          <w:rFonts w:hint="eastAsia"/>
          <w:szCs w:val="22"/>
        </w:rPr>
        <w:t>指政府投资建设基础设施工程，受赈济者参加工程建设获得劳务报酬，以此取代直接救济的一种扶持政策。</w:t>
      </w:r>
    </w:p>
    <w:p>
      <w:pPr>
        <w:rPr>
          <w:szCs w:val="21"/>
        </w:rPr>
      </w:pPr>
      <w:r>
        <w:rPr>
          <w:rFonts w:eastAsia="黑体" w:cs="黑体"/>
          <w:szCs w:val="22"/>
        </w:rPr>
        <w:t>19</w:t>
      </w:r>
      <w:r>
        <w:rPr>
          <w:rFonts w:eastAsia="黑体" w:cs="黑体" w:hint="eastAsia"/>
          <w:szCs w:val="22"/>
        </w:rPr>
        <w:t>.新时代“枫桥经验”：</w:t>
      </w:r>
      <w:r>
        <w:rPr>
          <w:rFonts w:hint="eastAsia"/>
          <w:szCs w:val="22"/>
        </w:rPr>
        <w:t>中国共产党领导下基层社会治理现代化的成功实践，核心是“矛盾不上交、化解在基层、服务在身边”，强调法治思维、群众路线和源头治理‌。</w:t>
      </w:r>
    </w:p>
    <w:sectPr>
      <w:pgSz w:w="11906" w:h="16838"/>
      <w:pgMar w:top="1440" w:right="1797" w:bottom="1440" w:left="1797" w:header="851" w:footer="680" w:gutter="0"/>
      <w:cols w:num="1" w:space="425"/>
      <w:docGrid w:type="lines" w:linePitch="381" w:charSpace="0"/>
    </w:sectPr>
  </w:body>
</w:document>
</file>

<file path=word/fontTable.xml><?xml version="1.0" encoding="utf-8"?>
<w:fonts xmlns:w="http://schemas.openxmlformats.org/wordprocessingml/2006/main" xmlns:r="http://schemas.openxmlformats.org/officeDocument/2006/relationships">
  <w:font w:name="华文中宋">
    <w:altName w:val="宋体"/>
    <w:panose1 w:val="02010600040101010101"/>
    <w:charset w:val="86"/>
    <w:family w:val="auto"/>
    <w:pitch w:val="variable"/>
    <w:sig w:usb0="00000287" w:usb1="080F0000" w:usb2="00000010" w:usb3="00000000" w:csb0="0004009F" w:csb1="00000000"/>
  </w:font>
  <w:font w:name="方正小标宋简体">
    <w:altName w:val="微软雅黑"/>
    <w:panose1 w:val="00000000000000000000"/>
    <w:charset w:val="86"/>
    <w:family w:val="script"/>
    <w:pitch w:val="variable"/>
    <w:sig w:usb0="A00002BF" w:usb1="184F6CFA" w:usb2="00000012" w:usb3="00000000" w:csb0="00040001" w:csb1="00000000"/>
  </w:font>
  <w:font w:name="方正楷体_GBK">
    <w:altName w:val="微软雅黑"/>
    <w:panose1 w:val="00000000000000000000"/>
    <w:charset w:val="86"/>
    <w:family w:val="script"/>
    <w:pitch w:val="variable"/>
    <w:sig w:usb0="00000001" w:usb1="080E0000" w:usb2="00000000" w:usb3="00000000" w:csb0="00040000" w:csb1="00000000"/>
  </w:font>
  <w:font w:name="文鼎CS楷体">
    <w:altName w:val="方正楷体_GBK"/>
    <w:panose1 w:val="00000000000000000000"/>
    <w:charset w:val="86"/>
    <w:family w:val="modern"/>
    <w:pitch w:val="variable"/>
    <w:sig w:usb0="00000000" w:usb1="00000000" w:usb2="00000010" w:usb3="00000000" w:csb0="00040000" w:csb1="00000000"/>
  </w:font>
  <w:font w:name="方正黑体_GBK">
    <w:altName w:val="微软雅黑"/>
    <w:panose1 w:val="00000000000000000000"/>
    <w:charset w:val="86"/>
    <w:family w:val="auto"/>
    <w:pitch w:val="variable"/>
    <w:sig w:usb0="00000000" w:usb1="00000000" w:usb2="00000000" w:usb3="00000000" w:csb0="00040000" w:csb1="00000000"/>
  </w:font>
  <w:font w:name="等线">
    <w:altName w:val="宋体"/>
    <w:panose1 w:val="02010600030101010101"/>
    <w:charset w:val="86"/>
    <w:family w:val="auto"/>
    <w:pitch w:val="variable"/>
    <w:sig w:usb0="A00002BF" w:usb1="38CF7CFA" w:usb2="00000016" w:usb3="00000000" w:csb0="0004000F" w:csb1="00000000"/>
  </w:font>
  <w:font w:name="Arial">
    <w:altName w:val="DejaVu Sans"/>
    <w:panose1 w:val="020B0604020202020204"/>
    <w:charset w:val="00"/>
    <w:family w:val="auto"/>
    <w:pitch w:val="variable"/>
    <w:sig w:usb0="00007A87" w:usb1="80000000" w:usb2="00000008" w:usb3="00000000" w:csb0="400001FF" w:csb1="FFFF0000"/>
  </w:font>
  <w:font w:name="楷体_GB2312">
    <w:panose1 w:val="02010609030101010101"/>
    <w:charset w:val="86"/>
    <w:family w:val="modern"/>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微软雅黑">
    <w:altName w:val="宋体"/>
    <w:panose1 w:val="020B0503020204020204"/>
    <w:charset w:val="86"/>
    <w:family w:val="swiss"/>
    <w:pitch w:val="variable"/>
    <w:sig w:usb0="80000287" w:usb1="2ACF3C50" w:usb2="00000016" w:usb3="00000000" w:csb0="0004001F" w:csb1="00000000"/>
  </w:font>
  <w:font w:name="楷体">
    <w:altName w:val="楷体_GB2312"/>
    <w:panose1 w:val="02010609060101010101"/>
    <w:charset w:val="86"/>
    <w:family w:val="modern"/>
    <w:pitch w:val="variable"/>
    <w:sig w:usb0="800002BF" w:usb1="38CF7CFA" w:usb2="00000016" w:usb3="00000000" w:csb0="00040001" w:csb1="00000000"/>
  </w:font>
  <w:font w:name="方正仿宋_GBK">
    <w:altName w:val="微软雅黑"/>
    <w:panose1 w:val="00000000000000000000"/>
    <w:charset w:val="86"/>
    <w:family w:val="auto"/>
    <w:pitch w:val="variable"/>
    <w:sig w:usb0="00000001" w:usb1="080E0000" w:usb2="00000000" w:usb3="00000000" w:csb0="00040000" w:csb1="00000000"/>
  </w:font>
  <w:font w:name="仿宋_GB2312">
    <w:panose1 w:val="02010609030101010101"/>
    <w:charset w:val="86"/>
    <w:family w:val="modern"/>
    <w:pitch w:val="variable"/>
    <w:sig w:usb0="00000001" w:usb1="080E0000" w:usb2="00000010" w:usb3="00000000" w:csb0="00040000" w:csb1="00000000"/>
  </w:font>
  <w:font w:name="黑体">
    <w:altName w:val="SimHei"/>
    <w:panose1 w:val="02010609060101010101"/>
    <w:charset w:val="86"/>
    <w:family w:val="modern"/>
    <w:pitch w:val="variable"/>
    <w:sig w:usb0="800002BF" w:usb1="38CF7CFA"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Lucida Sans">
    <w:altName w:val="DejaVu Sans"/>
    <w:panose1 w:val="020B0602030504020204"/>
    <w:charset w:val="00"/>
    <w:family w:val="auto"/>
    <w:pitch w:val="variable"/>
    <w:sig w:usb0="00000003" w:usb1="00000000" w:usb2="00000000" w:usb3="00000000" w:csb0="20000001" w:csb1="00000000"/>
  </w:font>
  <w:font w:name="等线 Light">
    <w:altName w:val="宋体"/>
    <w:panose1 w:val="02010600030101010101"/>
    <w:charset w:val="86"/>
    <w:family w:val="auto"/>
    <w:pitch w:val="variable"/>
    <w:sig w:usb0="A00002BF" w:usb1="38CF7CFA" w:usb2="00000016" w:usb3="00000000" w:csb0="0004000F" w:csb1="00000000"/>
  </w:font>
  <w:font w:name="Calibri">
    <w:altName w:val="Times New Roman"/>
    <w:panose1 w:val="020F0502020204030204"/>
    <w:charset w:val="00"/>
    <w:family w:val="swiss"/>
    <w:pitch w:val="variable"/>
    <w:sig w:usb0="E0002AFF" w:usb1="4000ACFF" w:usb2="00000001" w:usb3="00000000" w:csb0="000001FF" w:csb1="00000000"/>
  </w:font>
  <w:font w:name="仿宋">
    <w:altName w:val="仿宋_GB2312"/>
    <w:panose1 w:val="02010609060101010101"/>
    <w:charset w:val="86"/>
    <w:family w:val="modern"/>
    <w:pitch w:val="variable"/>
    <w:sig w:usb0="800002BF" w:usb1="38CF7CFA" w:usb2="00000016" w:usb3="00000000" w:csb0="00040001"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ftr>
</file>

<file path=word/footer4.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sdt>
    <w:sdtPr>
      <w:id w:val="-371387095"/>
    </w:sdtPr>
    <w:sdtEndPr>
      <w:rPr>
        <w:szCs w:val="21"/>
      </w:rPr>
    </w:sdtEndPr>
    <w:sdtContent>
      <w:p>
        <w:pPr>
          <w:jc w:val="center"/>
          <w:rPr>
            <w:szCs w:val="21"/>
          </w:rPr>
        </w:pPr>
        <w:r>
          <w:rPr>
            <w:szCs w:val="21"/>
          </w:rPr>
          <w:fldChar w:fldCharType="begin"/>
        </w:r>
        <w:r>
          <w:rPr>
            <w:szCs w:val="21"/>
          </w:rPr>
          <w:instrText>PAGE   \* MERGEFORMAT</w:instrText>
        </w:r>
        <w:r>
          <w:rPr>
            <w:szCs w:val="21"/>
          </w:rPr>
          <w:fldChar w:fldCharType="separate"/>
        </w:r>
        <w:r>
          <w:rPr>
            <w:szCs w:val="21"/>
            <w:lang w:val="zh-CN"/>
          </w:rPr>
          <w:t>16</w:t>
        </w:r>
        <w:r>
          <w:rPr>
            <w:szCs w:val="21"/>
          </w:rPr>
          <w:fldChar w:fldCharType="end"/>
        </w:r>
      </w:p>
    </w:sdtContent>
  </w:sdt>
</w:ftr>
</file>

<file path=word/footer5.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sdt>
    <w:sdtPr>
      <w:id w:val="1739372036"/>
    </w:sdtPr>
    <w:sdtEndPr>
      <w:rPr>
        <w:szCs w:val="21"/>
      </w:rPr>
    </w:sdtEndPr>
    <w:sdtContent>
      <w:p>
        <w:pPr>
          <w:jc w:val="center"/>
          <w:rPr>
            <w:szCs w:val="21"/>
          </w:rPr>
        </w:pPr>
        <w:r>
          <w:rPr>
            <w:szCs w:val="21"/>
          </w:rPr>
          <w:fldChar w:fldCharType="begin"/>
        </w:r>
        <w:r>
          <w:rPr>
            <w:szCs w:val="21"/>
          </w:rPr>
          <w:instrText>PAGE   \* MERGEFORMAT</w:instrText>
        </w:r>
        <w:r>
          <w:rPr>
            <w:szCs w:val="21"/>
          </w:rPr>
          <w:fldChar w:fldCharType="separate"/>
        </w:r>
        <w:r>
          <w:rPr>
            <w:szCs w:val="21"/>
            <w:lang w:val="zh-CN"/>
          </w:rPr>
          <w:t>16</w:t>
        </w:r>
        <w:r>
          <w:rPr>
            <w:szCs w:val="21"/>
          </w:rPr>
          <w:fldChar w:fldCharType="end"/>
        </w:r>
      </w:p>
    </w:sdtContent>
  </w:sdt>
</w:ftr>
</file>

<file path=word/footnotes.xml><?xml version="1.0" encoding="utf-8"?>
<w:footnotes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footnote w:type="separator" w:id="0">
    <w:p>
      <w:r>
        <w:separator/>
      </w:r>
    </w:p>
  </w:footnote>
  <w:footnote w:type="continuationSeparator" w:id="1">
    <w:p>
      <w:r>
        <w:continuationSeparator/>
      </w:r>
    </w:p>
  </w:footnote>
  <w:footnote w:id="2">
    <w:p>
      <w:pPr>
        <w:pStyle w:val="49"/>
      </w:pPr>
      <w:r>
        <w:rPr>
          <w:rStyle w:val="50"/>
        </w:rPr>
        <w:footnoteRef/>
      </w:r>
      <w:r>
        <w:t xml:space="preserve"> </w:t>
      </w:r>
      <w:r>
        <w:rPr>
          <w:rFonts w:hint="eastAsia"/>
        </w:rPr>
        <w:t>该数据为2</w:t>
      </w:r>
      <w:r>
        <w:t>025</w:t>
      </w:r>
      <w:r>
        <w:rPr>
          <w:rFonts w:hint="eastAsia"/>
        </w:rPr>
        <w:t>年预计值。</w:t>
      </w:r>
    </w:p>
  </w:footnote>
</w:footnotes>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ind w:left="560" w:firstLineChars="0" w:firstLine="0"/>
    </w:pPr>
  </w:p>
</w:hdr>
</file>

<file path=word/header2.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hdr>
</file>

<file path=word/header3.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hd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displayBackgroundShape/>
  <w:bordersDoNotSurroundHeader/>
  <w:bordersDoNotSurroundFooter/>
  <w:defaultTabStop w:val="420"/>
  <w:drawingGridHorizontalSpacing w:val="160"/>
  <w:drawingGridVerticalSpacing w:val="435"/>
  <w:displayHorizontalDrawingGridEvery w:val="0"/>
  <w:displayVerticalDrawingGridEvery w:val="1"/>
  <w:characterSpacingControl w:val="compressPunctuation"/>
  <w:footnotePr>
    <w:footnote w:id="0"/>
    <w:footnote w:id="1"/>
  </w:footnotePr>
  <w:compat>
    <w:spaceForUL/>
    <w:balanceSingleByteDoubleByteWidth/>
    <w:ulTrailSpace/>
    <w:doNotExpandShiftReturn/>
    <w:adjustLineHeightInTable/>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Lucida Sans"/>
        <w:lang w:val="en-US" w:eastAsia="zh-CN" w:bidi="ar-SA"/>
      </w:rPr>
    </w:rPrDefault>
    <w:pPrDefault/>
  </w:docDefaults>
  <w:style w:type="paragraph" w:default="1" w:styleId="0">
    <w:name w:val="Normal"/>
    <w:pPr>
      <w:widowControl w:val="0"/>
      <w:snapToGrid w:val="0"/>
      <w:spacing w:line="360" w:lineRule="auto"/>
      <w:ind w:firstLineChars="200" w:firstLine="200"/>
      <w:jc w:val="both"/>
    </w:pPr>
    <w:rPr>
      <w:rFonts w:ascii="Times New Roman" w:eastAsia="仿宋_GB2312" w:cs="Times New Roman" w:hAnsi="Times New Roman"/>
      <w:kern w:val="2"/>
      <w:sz w:val="21"/>
      <w:szCs w:val="20"/>
      <w:lang w:val="en-US" w:eastAsia="zh-CN" w:bidi="ar-SA"/>
    </w:rPr>
  </w:style>
  <w:style w:type="paragraph" w:styleId="1">
    <w:name w:val="heading 1"/>
    <w:basedOn w:val="2"/>
    <w:next w:val="0"/>
    <w:pPr>
      <w:outlineLvl w:val="0"/>
    </w:pPr>
    <w:rPr>
      <w:rFonts w:eastAsia="方正黑体_GBK"/>
      <w:sz w:val="28"/>
    </w:rPr>
  </w:style>
  <w:style w:type="paragraph" w:styleId="2">
    <w:name w:val="heading 2"/>
    <w:basedOn w:val="3"/>
    <w:next w:val="0"/>
    <w:pPr>
      <w:ind w:firstLineChars="0" w:firstLine="0"/>
      <w:jc w:val="center"/>
      <w:outlineLvl w:val="1"/>
    </w:pPr>
    <w:rPr>
      <w:sz w:val="24"/>
      <w:szCs w:val="36"/>
    </w:rPr>
  </w:style>
  <w:style w:type="paragraph" w:styleId="3">
    <w:name w:val="heading 3"/>
    <w:basedOn w:val="0"/>
    <w:next w:val="0"/>
    <w:pPr>
      <w:outlineLvl w:val="2"/>
    </w:pPr>
    <w:rPr>
      <w:rFonts w:eastAsia="楷体"/>
      <w:b/>
      <w:bCs/>
      <w:szCs w:val="32"/>
    </w:rPr>
  </w:style>
  <w:style w:type="paragraph" w:styleId="4">
    <w:name w:val="heading 4"/>
    <w:basedOn w:val="0"/>
    <w:next w:val="0"/>
    <w:pPr>
      <w:outlineLvl w:val="3"/>
    </w:pPr>
    <w:rPr>
      <w:rFonts w:ascii="等线 Light" w:cs="Times New Roman" w:hAnsi="等线 Light"/>
      <w:b/>
      <w:bCs/>
      <w:szCs w:val="28"/>
    </w:rPr>
  </w:style>
  <w:style w:type="paragraph" w:styleId="5">
    <w:name w:val="heading 5"/>
    <w:basedOn w:val="0"/>
    <w:next w:val="0"/>
    <w:pPr>
      <w:keepNext/>
      <w:keepLines/>
      <w:widowControl w:val="0"/>
      <w:spacing w:before="280" w:after="290" w:line="377" w:lineRule="auto"/>
      <w:outlineLvl w:val="4"/>
    </w:pPr>
    <w:rPr>
      <w:b/>
      <w:bCs/>
      <w:szCs w:val="28"/>
    </w:rPr>
  </w:style>
  <w:style w:type="character" w:default="1" w:styleId="10">
    <w:name w:val="Default Paragraph Font"/>
  </w:style>
  <w:style w:type="paragraph" w:styleId="15">
    <w:name w:val="toc 7"/>
    <w:basedOn w:val="0"/>
    <w:next w:val="0"/>
    <w:pPr>
      <w:spacing w:line="240" w:lineRule="auto"/>
      <w:ind w:leftChars="1200" w:left="1200" w:firstLineChars="0" w:firstLine="0"/>
    </w:pPr>
    <w:rPr>
      <w:rFonts w:ascii="等线" w:eastAsia="等线" w:cs="Arial"/>
      <w:szCs w:val="22"/>
    </w:rPr>
  </w:style>
  <w:style w:type="paragraph" w:styleId="16">
    <w:name w:val="annotation text"/>
    <w:basedOn w:val="0"/>
    <w:pPr>
      <w:jc w:val="left"/>
    </w:pPr>
  </w:style>
  <w:style w:type="paragraph" w:styleId="17">
    <w:name w:val="Body Text Indent"/>
    <w:basedOn w:val="0"/>
  </w:style>
  <w:style w:type="paragraph" w:styleId="18">
    <w:name w:val="toc 5"/>
    <w:basedOn w:val="0"/>
    <w:next w:val="0"/>
    <w:pPr>
      <w:spacing w:line="240" w:lineRule="auto"/>
      <w:ind w:leftChars="800" w:left="800" w:firstLineChars="0" w:firstLine="0"/>
    </w:pPr>
    <w:rPr>
      <w:rFonts w:ascii="等线" w:eastAsia="等线" w:cs="Arial"/>
      <w:szCs w:val="22"/>
    </w:rPr>
  </w:style>
  <w:style w:type="paragraph" w:styleId="19">
    <w:name w:val="toc 3"/>
    <w:basedOn w:val="0"/>
    <w:next w:val="0"/>
    <w:pPr>
      <w:ind w:leftChars="200" w:left="200"/>
    </w:pPr>
  </w:style>
  <w:style w:type="paragraph" w:styleId="20">
    <w:name w:val="toc 8"/>
    <w:basedOn w:val="0"/>
    <w:next w:val="0"/>
    <w:pPr>
      <w:spacing w:line="240" w:lineRule="auto"/>
      <w:ind w:leftChars="1400" w:left="1400" w:firstLineChars="0" w:firstLine="0"/>
    </w:pPr>
    <w:rPr>
      <w:rFonts w:ascii="等线" w:eastAsia="等线" w:cs="Arial"/>
      <w:szCs w:val="22"/>
    </w:rPr>
  </w:style>
  <w:style w:type="paragraph" w:styleId="21">
    <w:name w:val="Date"/>
    <w:basedOn w:val="0"/>
    <w:next w:val="0"/>
    <w:pPr>
      <w:ind w:leftChars="2500" w:left="2500"/>
    </w:pPr>
  </w:style>
  <w:style w:type="paragraph" w:styleId="22">
    <w:name w:val="Body Text Indent 2"/>
    <w:basedOn w:val="0"/>
    <w:pPr>
      <w:spacing w:after="120" w:line="480" w:lineRule="auto"/>
      <w:ind w:leftChars="200" w:left="200"/>
    </w:pPr>
  </w:style>
  <w:style w:type="paragraph" w:styleId="23">
    <w:name w:val="Balloon Text"/>
    <w:basedOn w:val="0"/>
    <w:pPr>
      <w:spacing w:line="240" w:lineRule="auto"/>
    </w:pPr>
    <w:rPr>
      <w:sz w:val="18"/>
      <w:szCs w:val="18"/>
    </w:rPr>
  </w:style>
  <w:style w:type="paragraph" w:styleId="24">
    <w:name w:val="footer"/>
    <w:basedOn w:val="0"/>
    <w:pPr>
      <w:tabs>
        <w:tab w:val="center" w:pos="4153"/>
        <w:tab w:val="right" w:pos="8306"/>
      </w:tabs>
      <w:jc w:val="left"/>
    </w:pPr>
    <w:rPr>
      <w:sz w:val="18"/>
      <w:szCs w:val="18"/>
    </w:rPr>
  </w:style>
  <w:style w:type="paragraph" w:styleId="25">
    <w:name w:val="header"/>
    <w:basedOn w:val="0"/>
    <w:pPr>
      <w:pBdr>
        <w:bottom w:val="single" w:sz="6" w:space="1" w:color="auto"/>
      </w:pBdr>
      <w:tabs>
        <w:tab w:val="center" w:pos="4153"/>
        <w:tab w:val="right" w:pos="8306"/>
      </w:tabs>
      <w:jc w:val="center"/>
    </w:pPr>
    <w:rPr>
      <w:sz w:val="18"/>
      <w:szCs w:val="18"/>
    </w:rPr>
  </w:style>
  <w:style w:type="paragraph" w:styleId="26">
    <w:name w:val="toc 1"/>
    <w:basedOn w:val="0"/>
    <w:next w:val="0"/>
    <w:pPr>
      <w:tabs>
        <w:tab w:val="right" w:leader="dot" w:pos="8296"/>
      </w:tabs>
      <w:spacing w:line="240" w:lineRule="auto"/>
      <w:ind w:firstLineChars="0" w:firstLine="0"/>
    </w:pPr>
    <w:rPr>
      <w:b/>
      <w:bCs/>
    </w:rPr>
  </w:style>
  <w:style w:type="paragraph" w:styleId="27">
    <w:name w:val="toc 4"/>
    <w:basedOn w:val="0"/>
    <w:next w:val="0"/>
    <w:pPr>
      <w:spacing w:line="240" w:lineRule="auto"/>
      <w:ind w:leftChars="600" w:left="600" w:firstLineChars="0" w:firstLine="0"/>
    </w:pPr>
    <w:rPr>
      <w:rFonts w:ascii="等线" w:eastAsia="等线" w:cs="Arial"/>
      <w:szCs w:val="22"/>
    </w:rPr>
  </w:style>
  <w:style w:type="paragraph" w:styleId="28">
    <w:name w:val="toc 6"/>
    <w:basedOn w:val="0"/>
    <w:next w:val="0"/>
    <w:pPr>
      <w:spacing w:line="240" w:lineRule="auto"/>
      <w:ind w:leftChars="1000" w:left="1000" w:firstLineChars="0" w:firstLine="0"/>
    </w:pPr>
    <w:rPr>
      <w:rFonts w:ascii="等线" w:eastAsia="等线" w:cs="Arial"/>
      <w:szCs w:val="22"/>
    </w:rPr>
  </w:style>
  <w:style w:type="paragraph" w:styleId="29">
    <w:name w:val="toc 2"/>
    <w:basedOn w:val="0"/>
    <w:next w:val="0"/>
    <w:pPr>
      <w:ind w:leftChars="200" w:left="200" w:firstLineChars="0" w:firstLine="0"/>
    </w:pPr>
  </w:style>
  <w:style w:type="paragraph" w:styleId="30">
    <w:name w:val="toc 9"/>
    <w:basedOn w:val="0"/>
    <w:next w:val="0"/>
    <w:pPr>
      <w:spacing w:line="240" w:lineRule="auto"/>
      <w:ind w:leftChars="1600" w:left="1600" w:firstLineChars="0" w:firstLine="0"/>
    </w:pPr>
    <w:rPr>
      <w:rFonts w:ascii="等线" w:eastAsia="等线" w:cs="Arial"/>
      <w:szCs w:val="22"/>
    </w:rPr>
  </w:style>
  <w:style w:type="paragraph" w:styleId="31">
    <w:name w:val="Normal (Web)"/>
    <w:basedOn w:val="0"/>
    <w:rPr>
      <w:sz w:val="24"/>
      <w:szCs w:val="24"/>
    </w:rPr>
  </w:style>
  <w:style w:type="paragraph" w:styleId="32">
    <w:name w:val="annotation subject"/>
    <w:basedOn w:val="16"/>
    <w:next w:val="16"/>
    <w:rPr>
      <w:b/>
      <w:bCs/>
    </w:rPr>
  </w:style>
  <w:style w:type="paragraph" w:styleId="33">
    <w:name w:val="Body Text First Indent 2"/>
    <w:basedOn w:val="17"/>
    <w:pPr>
      <w:spacing w:after="120"/>
      <w:ind w:leftChars="200" w:left="200"/>
    </w:pPr>
  </w:style>
  <w:style w:type="character" w:styleId="34">
    <w:name w:val="Strong"/>
    <w:basedOn w:val="10"/>
    <w:rPr>
      <w:b/>
      <w:bCs/>
    </w:rPr>
  </w:style>
  <w:style w:type="character" w:styleId="35">
    <w:name w:val="Hyperlink"/>
    <w:basedOn w:val="10"/>
    <w:rPr>
      <w:color w:val="0563C1"/>
      <w:u w:val="single"/>
    </w:rPr>
  </w:style>
  <w:style w:type="character" w:styleId="36">
    <w:name w:val="annotation reference"/>
    <w:basedOn w:val="10"/>
    <w:rPr>
      <w:sz w:val="21"/>
      <w:szCs w:val="21"/>
    </w:rPr>
  </w:style>
  <w:style w:type="paragraph" w:styleId="37">
    <w:name w:val="List Paragraph"/>
    <w:basedOn w:val="0"/>
    <w:rPr>
      <w:rFonts w:ascii="宋体" w:hAnsi="宋体"/>
    </w:rPr>
  </w:style>
  <w:style w:type="paragraph" w:customStyle="1" w:styleId="38">
    <w:name w:val="无间隔2"/>
    <w:pPr>
      <w:widowControl w:val="0"/>
    </w:pPr>
    <w:rPr>
      <w:rFonts w:ascii="Calibri" w:eastAsia="宋体" w:cs="Calibri" w:hAnsi="Calibri"/>
      <w:kern w:val="2"/>
      <w:sz w:val="21"/>
      <w:szCs w:val="21"/>
      <w:lang w:val="en-US" w:eastAsia="zh-CN" w:bidi="ar-SA"/>
    </w:rPr>
  </w:style>
  <w:style w:type="paragraph" w:styleId="39">
    <w:name w:val="No Spacing"/>
    <w:pPr>
      <w:widowControl w:val="0"/>
      <w:ind w:firstLineChars="200" w:firstLine="200"/>
      <w:jc w:val="both"/>
    </w:pPr>
    <w:rPr>
      <w:rFonts w:ascii="Times New Roman" w:eastAsia="仿宋" w:cs="Times New Roman" w:hAnsi="Times New Roman"/>
      <w:kern w:val="2"/>
      <w:sz w:val="28"/>
      <w:szCs w:val="20"/>
      <w:lang w:val="en-US" w:eastAsia="zh-CN" w:bidi="ar-SA"/>
    </w:rPr>
  </w:style>
  <w:style w:type="paragraph" w:customStyle="1" w:styleId="40">
    <w:name w:val="无间隔3"/>
    <w:pPr>
      <w:widowControl w:val="0"/>
    </w:pPr>
    <w:rPr>
      <w:rFonts w:ascii="Calibri" w:eastAsia="宋体" w:cs="Calibri" w:hAnsi="Calibri"/>
      <w:kern w:val="2"/>
      <w:sz w:val="21"/>
      <w:szCs w:val="21"/>
      <w:lang w:val="en-US" w:eastAsia="zh-CN" w:bidi="ar-SA"/>
    </w:rPr>
  </w:style>
  <w:style w:type="paragraph" w:customStyle="1" w:styleId="41">
    <w:name w:val="无间隔1"/>
    <w:pPr>
      <w:widowControl w:val="0"/>
      <w:jc w:val="both"/>
    </w:pPr>
    <w:rPr>
      <w:rFonts w:ascii="Calibri" w:eastAsia="宋体" w:cs="Calibri" w:hAnsi="Calibri"/>
      <w:kern w:val="2"/>
      <w:sz w:val="21"/>
      <w:szCs w:val="21"/>
      <w:lang w:val="en-US" w:eastAsia="zh-CN" w:bidi="ar-SA"/>
    </w:rPr>
  </w:style>
  <w:style w:type="paragraph" w:customStyle="1" w:styleId="42">
    <w:name w:val="TOC 标题1"/>
    <w:basedOn w:val="1"/>
    <w:next w:val="0"/>
    <w:pPr>
      <w:keepNext/>
      <w:keepLines/>
      <w:widowControl/>
      <w:spacing w:line="259" w:lineRule="auto"/>
      <w:jc w:val="left"/>
      <w:outlineLvl w:val="9"/>
    </w:pPr>
    <w:rPr>
      <w:rFonts w:ascii="等线 Light" w:eastAsia="等线 Light" w:cs="Times New Roman"/>
      <w:b w:val="0"/>
      <w:bCs w:val="0"/>
      <w:color w:val="2F5496"/>
      <w:kern w:val="0"/>
      <w:szCs w:val="32"/>
    </w:rPr>
  </w:style>
  <w:style w:type="paragraph" w:customStyle="1" w:styleId="43">
    <w:name w:val="正文小三"/>
    <w:basedOn w:val="0"/>
    <w:pPr>
      <w:spacing w:before="240" w:after="240" w:line="500" w:lineRule="exact"/>
    </w:pPr>
    <w:rPr>
      <w:rFonts w:ascii="仿宋" w:hAnsi="仿宋"/>
      <w:color w:val="000000"/>
      <w:kern w:val="0"/>
      <w:szCs w:val="30"/>
    </w:rPr>
  </w:style>
  <w:style w:type="paragraph" w:customStyle="1" w:styleId="44">
    <w:name w:val="修订1"/>
    <w:rPr>
      <w:rFonts w:ascii="Times New Roman" w:eastAsia="仿宋" w:cs="Times New Roman" w:hAnsi="Times New Roman"/>
      <w:kern w:val="2"/>
      <w:sz w:val="28"/>
      <w:szCs w:val="20"/>
      <w:lang w:val="en-US" w:eastAsia="zh-CN" w:bidi="ar-SA"/>
    </w:rPr>
  </w:style>
  <w:style w:type="paragraph" w:customStyle="1" w:styleId="45">
    <w:name w:val="正文1"/>
    <w:next w:val="0"/>
    <w:pPr>
      <w:widowControl w:val="0"/>
      <w:jc w:val="both"/>
    </w:pPr>
    <w:rPr>
      <w:rFonts w:ascii="Calibri" w:eastAsia="宋体" w:cs="黑体" w:hAnsi="Calibri"/>
      <w:kern w:val="2"/>
      <w:sz w:val="21"/>
      <w:szCs w:val="21"/>
      <w:lang w:val="en-US" w:eastAsia="zh-CN" w:bidi="ar-SA"/>
    </w:rPr>
  </w:style>
  <w:style w:type="paragraph" w:customStyle="1" w:styleId="46">
    <w:name w:val="正文文本首行缩进 21"/>
    <w:basedOn w:val="0"/>
    <w:pPr>
      <w:spacing w:before="100" w:beforeAutospacing="1" w:after="120" w:line="240" w:lineRule="auto"/>
      <w:ind w:leftChars="200" w:left="200"/>
    </w:pPr>
    <w:rPr>
      <w:rFonts w:ascii="Calibri" w:eastAsia="宋体" w:cs="黑体" w:hAnsi="Calibri"/>
      <w:szCs w:val="21"/>
    </w:rPr>
  </w:style>
  <w:style w:type="paragraph" w:customStyle="1" w:styleId="47">
    <w:name w:val="TOC 标题2"/>
    <w:basedOn w:val="1"/>
    <w:next w:val="0"/>
    <w:pPr>
      <w:keepNext/>
      <w:keepLines/>
      <w:widowControl/>
      <w:spacing w:line="259" w:lineRule="auto"/>
      <w:jc w:val="left"/>
      <w:outlineLvl w:val="9"/>
    </w:pPr>
    <w:rPr>
      <w:rFonts w:ascii="等线 Light" w:eastAsia="等线 Light" w:cs="Times New Roman"/>
      <w:b w:val="0"/>
      <w:bCs w:val="0"/>
      <w:color w:val="2F5496"/>
      <w:kern w:val="0"/>
      <w:szCs w:val="32"/>
    </w:rPr>
  </w:style>
  <w:style w:type="paragraph" w:customStyle="1" w:styleId="48">
    <w:name w:val="修订2"/>
    <w:rPr>
      <w:rFonts w:ascii="Times New Roman" w:eastAsia="仿宋_GB2312" w:cs="Times New Roman" w:hAnsi="Times New Roman"/>
      <w:kern w:val="2"/>
      <w:sz w:val="30"/>
      <w:szCs w:val="20"/>
      <w:lang w:val="en-US" w:eastAsia="zh-CN" w:bidi="ar-SA"/>
    </w:rPr>
  </w:style>
  <w:style w:type="paragraph" w:styleId="49">
    <w:name w:val="footnote text"/>
    <w:basedOn w:val="0"/>
    <w:pPr>
      <w:adjustRightInd w:val="0"/>
      <w:snapToGrid w:val="0"/>
      <w:spacing w:line="240" w:lineRule="auto"/>
      <w:ind w:firstLineChars="0" w:firstLine="0"/>
      <w:jc w:val="left"/>
    </w:pPr>
    <w:rPr>
      <w:sz w:val="18"/>
      <w:szCs w:val="18"/>
    </w:rPr>
  </w:style>
  <w:style w:type="character" w:styleId="50">
    <w:name w:val="footnote reference"/>
    <w:basedOn w:val="10"/>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oter" Target="footer4.xml"/><Relationship Id="rId9" Type="http://schemas.openxmlformats.org/officeDocument/2006/relationships/footer" Target="footer5.xml"/><Relationship Id="rId10" Type="http://schemas.openxmlformats.org/officeDocument/2006/relationships/footnotes" Target="footnotes.xml"/><Relationship Id="rId11" Type="http://schemas.openxmlformats.org/officeDocument/2006/relationships/styles" Target="styles.xml"/><Relationship Id="rId12" Type="http://schemas.openxmlformats.org/officeDocument/2006/relationships/fontTable" Target="fontTable.xml"/><Relationship Id="rId13" Type="http://schemas.openxmlformats.org/officeDocument/2006/relationships/customXml" Target="../customXml/item1.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sectPr/>
    <sectPr/>
    <sectPr/>
  </customProps>
</customData>
</file>

<file path=customXml/itemProps1.xml><?xml version="1.0" encoding="utf-8"?>
<ds:datastoreItem xmlns:ds="http://schemas.openxmlformats.org/officeDocument/2006/customXml" ds:itemID="{9FB6EF6F-6426-4EE1-A0AA-125D40A2DBDD}">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58</TotalTime>
  <Application>Yozo_Office27021597764231179</Application>
  <Pages>55</Pages>
  <Words>0</Words>
  <Characters>41505</Characters>
  <Lines>0</Lines>
  <Paragraphs>367</Paragraphs>
  <CharactersWithSpaces>55341</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Dell</dc:creator>
  <cp:lastModifiedBy>bmjyj</cp:lastModifiedBy>
  <cp:revision>6</cp:revision>
  <cp:lastPrinted>2026-03-09T01:50:00Z</cp:lastPrinted>
  <dcterms:created xsi:type="dcterms:W3CDTF">2026-03-08T02:07:00Z</dcterms:created>
  <dcterms:modified xsi:type="dcterms:W3CDTF">2026-09-07T03:49:08Z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2052-11.8.2.12309</vt:lpwstr>
  </property>
  <property fmtid="{D5CDD505-2E9C-101B-9397-08002B2CF9AE}" pid="3" name="ICV">
    <vt:lpwstr>F590085BACBC4AB39C40B189F602800D</vt:lpwstr>
  </property>
</Properties>
</file>