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88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波密县司法局</w:t>
      </w:r>
    </w:p>
    <w:p>
      <w:pPr>
        <w:widowControl w:val="0"/>
        <w:wordWrap/>
        <w:adjustRightInd/>
        <w:snapToGrid/>
        <w:spacing w:before="0" w:after="0" w:line="550" w:lineRule="exact"/>
        <w:ind w:left="0" w:leftChars="0" w:right="0" w:firstLine="880" w:firstLineChars="0"/>
        <w:jc w:val="center"/>
        <w:textAlignment w:val="auto"/>
        <w:outlineLvl w:val="9"/>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根据《中华人民共和国政府信息公开条例》（国务院令第711号，以下简称《条例》）要求，现公布波密县司法局2020年政府信息公开工作年度报告。</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被告包括政府信息公开总体情况、主动公开政府信息情况、收到和处理政府信息公开申请情况、政府信息公开行政复议和行政诉讼情况、存在主要问题和改进情况、其它需要报告事项等六部分组成。本报告中所列数据的统计期限自2020年1月1日起至2020年12月31日止。报告电子版可在波密县人民政府网下载（www.bomi.gov.cn），公众如需进一步咨询了解相关信息，请与波密县司法局局办公室联系。（地址：西藏波密县大会堂北门100米处，邮编：860300 ，电话:5422030）。</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波密县司法局坚持以习近平新时代中国特色社会主义思想为指导，认真贯彻县委县政府的决策部署，严格落实《中华人民共和国政府信息公开条例》《关于印发2020年政务公开标准化规范化工作的指导意见》等文件精神要求，狠抓重点工作，注重改革创新，推进信息公开工作稳步前进，取得了良好的工作成效。  </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（一）主动公开情况  </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做好常态化公开。波密县司法局始终坚持“以公开为常态、不公开为例外”的原则，持续深化司法行政领域政府信息公开，全年，县司法局主动公开政府信息25条，其中通过公开栏张贴主动公开信息4条，微信“波密司法”发布信息21条。二是加强用权公开。全面梳理县司法局机关依法承担的公共服务职责和依法行使的行政权力中介服务事项并按要求公开。</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（二）依申请公开情况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强化法律意识和协调意识，规范办理流程和答复文书，全年共受理依申请公开0件。 同时，积极利用波密司法微信公众平台及时发布各类公开信息，加强发布信息的衔接协调，确保公开内容准确、一致。</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（三）政府信息管理</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完善调整主动公开目录。以政府信息公开专栏为契机，依据近年来国家对全面加强政务公开工作提出的各项要求和新《条例》有关规定，完善调整主动公开目录。二是管理重要政府信息。全面梳理制发的规范性文件，并对5</w:t>
      </w:r>
      <w:bookmarkStart w:id="0" w:name="_GoBack"/>
      <w:bookmarkEnd w:id="0"/>
      <w:r>
        <w:rPr>
          <w:rFonts w:hint="eastAsia" w:ascii="仿宋_GB2312" w:hAnsi="仿宋_GB2312" w:eastAsia="仿宋_GB2312" w:cs="仿宋_GB2312"/>
          <w:sz w:val="32"/>
          <w:szCs w:val="32"/>
          <w:lang w:val="en-US" w:eastAsia="zh-CN"/>
        </w:rPr>
        <w:t>份规范性文件进行了登记备案审查，按规范化要求准确列明文号、成文日期、发布时间、有效性等信息。</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（四）公开平台建设</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平台管理。综合利用县司法局政务微信等平台，提升政府信息公开的覆盖面、到达率。同时，切实加强平台日常管理，严格落实相关制度，加强对政务公开工作人员的教育和管理，加强网络安全意识、责任意识、程序意识教育，提高业务能力和水平。 </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2</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5</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1</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 xml:space="preserve"> 0                                                                                                                                                                                                                                                                                                                                                                                                                                                                                </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2020年存在的主要问题：公开质量还不够高，向社会公众征集意见信息较少；政策解读形式较为单一，内容单调、质量不高等。  改进情况：加强培训，提升负责政务工作同志的业务能力；进一步优化完善、提高公布质量，力求易懂、贴近百姓,充分保障公众的知情权、参与权。 </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下一步工作打算：一是着力补短板、强弱项，持续巩固提升基础信息公开质量，加强政务信息管理，全面夯实政务公开工作基础，加大重大决策预公开力度，确保依法主动公开事项权威、及时、准确、全面地动态更新。二是持续提升政策解读质量，提升内容质量，增强影响力。</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06D86"/>
    <w:rsid w:val="23E82A64"/>
    <w:rsid w:val="2F26145E"/>
    <w:rsid w:val="399B712F"/>
    <w:rsid w:val="3EF13099"/>
    <w:rsid w:val="48256FEE"/>
    <w:rsid w:val="4A081EDE"/>
    <w:rsid w:val="4F0E4474"/>
    <w:rsid w:val="58F47D10"/>
    <w:rsid w:val="5F8F9DEA"/>
    <w:rsid w:val="648D677F"/>
    <w:rsid w:val="72AF797E"/>
    <w:rsid w:val="74167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2020-12-16T15:30:00Z</dcterms:created>
  <dc:creator>Administrator</dc:creator>
  <cp:lastModifiedBy>Administrator</cp:lastModifiedBy>
  <cp:lastPrinted>2021-02-08T10:49:00Z</cp:lastPrinted>
  <dcterms:modified xsi:type="dcterms:W3CDTF">2021-02-08T14:22:16Z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