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波密县扶贫开发办公室</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atLeas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atLeast"/>
        <w:ind w:left="0" w:leftChars="0" w:right="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根据《中华人民共和国政府信息公开条例》（国务院令第711号，以下简称《条例》）</w:t>
      </w:r>
      <w:r>
        <w:rPr>
          <w:rFonts w:hint="eastAsia" w:ascii="仿宋_GB2312" w:hAnsi="仿宋_GB2312" w:eastAsia="仿宋_GB2312" w:cs="仿宋_GB2312"/>
          <w:sz w:val="32"/>
          <w:szCs w:val="32"/>
          <w:lang w:val="en-US" w:eastAsia="zh-CN"/>
        </w:rPr>
        <w:t>以及《国务院办公厅政府信息与政务公开办公室关于政府信息公开工作年度报告有关事项的通知》（国办公开办函〔2019〕60号）文件</w:t>
      </w:r>
      <w:r>
        <w:rPr>
          <w:rFonts w:hint="eastAsia" w:ascii="仿宋_GB2312" w:hAnsi="仿宋_GB2312" w:eastAsia="仿宋_GB2312" w:cs="仿宋_GB2312"/>
          <w:color w:val="auto"/>
          <w:sz w:val="32"/>
          <w:szCs w:val="32"/>
          <w:lang w:val="en-US" w:eastAsia="zh-CN"/>
        </w:rPr>
        <w:t>要求，现公布波密县扶贫开发办公室2020年政府信息公开工作年度报告。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atLeast"/>
        <w:ind w:left="0" w:leftChars="0" w:right="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报告包括总体情况、主动公开政府信息情况、收到和处理政府信息公开申请情况、政府信息公开行政复议和行政诉论情况、存在的主要问题及改进情况、其他需要报告的事项等六个部分。除特别说明的外，所列数据统计时限为2020年1月1日到2020年12月31日。</w:t>
      </w:r>
      <w:r>
        <w:rPr>
          <w:rFonts w:hint="eastAsia" w:ascii="仿宋_GB2312" w:hAnsi="仿宋_GB2312" w:eastAsia="仿宋_GB2312" w:cs="仿宋_GB2312"/>
          <w:sz w:val="32"/>
          <w:szCs w:val="32"/>
          <w:lang w:val="en-US" w:eastAsia="zh-CN"/>
        </w:rPr>
        <w:t>报告电子版可在波密县人民政府网站进行下载</w:t>
      </w:r>
      <w:r>
        <w:rPr>
          <w:rFonts w:hint="eastAsia" w:ascii="仿宋_GB2312" w:hAnsi="仿宋_GB2312" w:eastAsia="仿宋_GB2312" w:cs="仿宋_GB2312"/>
          <w:i w:val="0"/>
          <w:caps w:val="0"/>
          <w:color w:val="auto"/>
          <w:spacing w:val="0"/>
          <w:sz w:val="32"/>
          <w:szCs w:val="32"/>
          <w:shd w:val="clear" w:fill="FFFFFF"/>
          <w:lang w:eastAsia="zh-CN"/>
        </w:rPr>
        <w:t>（网址：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）。公众如需进一步咨询了解相关信息，请与波密县扶贫</w:t>
      </w:r>
      <w:r>
        <w:rPr>
          <w:rFonts w:hint="eastAsia" w:ascii="仿宋_GB2312" w:hAnsi="仿宋_GB2312" w:eastAsia="仿宋_GB2312" w:cs="仿宋_GB2312"/>
          <w:i w:val="0"/>
          <w:caps w:val="0"/>
          <w:color w:val="auto"/>
          <w:spacing w:val="0"/>
          <w:sz w:val="32"/>
          <w:szCs w:val="32"/>
          <w:shd w:val="clear" w:fill="FFFFFF"/>
          <w:lang w:val="en-US" w:eastAsia="zh-CN"/>
        </w:rPr>
        <w:t>开发办公室</w:t>
      </w:r>
      <w:r>
        <w:rPr>
          <w:rFonts w:hint="eastAsia" w:ascii="仿宋_GB2312" w:hAnsi="仿宋_GB2312" w:eastAsia="仿宋_GB2312" w:cs="仿宋_GB2312"/>
          <w:i w:val="0"/>
          <w:caps w:val="0"/>
          <w:color w:val="auto"/>
          <w:spacing w:val="0"/>
          <w:sz w:val="32"/>
          <w:szCs w:val="32"/>
          <w:shd w:val="clear" w:fill="FFFFFF"/>
          <w:lang w:eastAsia="zh-CN"/>
        </w:rPr>
        <w:t>联系（地址：波密县扎木路</w:t>
      </w:r>
      <w:r>
        <w:rPr>
          <w:rFonts w:hint="eastAsia" w:ascii="仿宋_GB2312" w:hAnsi="仿宋_GB2312" w:eastAsia="仿宋_GB2312" w:cs="仿宋_GB2312"/>
          <w:i w:val="0"/>
          <w:caps w:val="0"/>
          <w:color w:val="auto"/>
          <w:spacing w:val="0"/>
          <w:sz w:val="32"/>
          <w:szCs w:val="32"/>
          <w:shd w:val="clear" w:fill="FFFFFF"/>
          <w:lang w:val="en-US" w:eastAsia="zh-CN"/>
        </w:rPr>
        <w:t>14号</w:t>
      </w:r>
      <w:r>
        <w:rPr>
          <w:rFonts w:hint="eastAsia" w:ascii="仿宋_GB2312" w:hAnsi="仿宋_GB2312" w:eastAsia="仿宋_GB2312" w:cs="仿宋_GB2312"/>
          <w:i w:val="0"/>
          <w:caps w:val="0"/>
          <w:color w:val="auto"/>
          <w:spacing w:val="0"/>
          <w:sz w:val="32"/>
          <w:szCs w:val="32"/>
          <w:shd w:val="clear" w:fill="FFFFFF"/>
          <w:lang w:eastAsia="zh-CN"/>
        </w:rPr>
        <w:t>；邮编：</w:t>
      </w:r>
      <w:r>
        <w:rPr>
          <w:rFonts w:hint="eastAsia" w:ascii="仿宋_GB2312" w:hAnsi="仿宋_GB2312" w:eastAsia="仿宋_GB2312" w:cs="仿宋_GB2312"/>
          <w:i w:val="0"/>
          <w:caps w:val="0"/>
          <w:color w:val="auto"/>
          <w:spacing w:val="0"/>
          <w:sz w:val="32"/>
          <w:szCs w:val="32"/>
          <w:shd w:val="clear" w:fill="FFFFFF"/>
          <w:lang w:val="en-US" w:eastAsia="zh-CN"/>
        </w:rPr>
        <w:t>860300；电话：0894—5422411）。</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一、总体情况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6" w:lineRule="atLeast"/>
        <w:ind w:left="0" w:right="0" w:firstLine="48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2020</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波密县</w:t>
      </w:r>
      <w:r>
        <w:rPr>
          <w:rFonts w:hint="eastAsia" w:ascii="仿宋_GB2312" w:hAnsi="仿宋_GB2312" w:eastAsia="仿宋_GB2312" w:cs="仿宋_GB2312"/>
          <w:i w:val="0"/>
          <w:caps w:val="0"/>
          <w:color w:val="auto"/>
          <w:spacing w:val="0"/>
          <w:sz w:val="32"/>
          <w:szCs w:val="32"/>
          <w:shd w:val="clear" w:fill="FFFFFF"/>
        </w:rPr>
        <w:t>扶贫</w:t>
      </w:r>
      <w:r>
        <w:rPr>
          <w:rFonts w:hint="eastAsia" w:ascii="仿宋_GB2312" w:hAnsi="仿宋_GB2312" w:eastAsia="仿宋_GB2312" w:cs="仿宋_GB2312"/>
          <w:i w:val="0"/>
          <w:caps w:val="0"/>
          <w:color w:val="auto"/>
          <w:spacing w:val="0"/>
          <w:sz w:val="32"/>
          <w:szCs w:val="32"/>
          <w:shd w:val="clear" w:fill="FFFFFF"/>
          <w:lang w:val="en-US" w:eastAsia="zh-CN"/>
        </w:rPr>
        <w:t>开发办公室</w:t>
      </w:r>
      <w:r>
        <w:rPr>
          <w:rFonts w:hint="eastAsia" w:ascii="仿宋_GB2312" w:hAnsi="仿宋_GB2312" w:eastAsia="仿宋_GB2312" w:cs="仿宋_GB2312"/>
          <w:i w:val="0"/>
          <w:caps w:val="0"/>
          <w:color w:val="auto"/>
          <w:spacing w:val="0"/>
          <w:sz w:val="32"/>
          <w:szCs w:val="32"/>
          <w:shd w:val="clear" w:fill="FFFFFF"/>
        </w:rPr>
        <w:t>认真贯彻落实《条例》精神，以群众知晓、群众参与、群众监督为原则，围绕脱贫攻坚重点领域，完善体制机制，加强督查检查，大力推进政务公开工作，</w:t>
      </w:r>
      <w:r>
        <w:rPr>
          <w:rFonts w:hint="eastAsia" w:ascii="仿宋_GB2312" w:hAnsi="仿宋_GB2312" w:eastAsia="仿宋_GB2312" w:cs="仿宋_GB2312"/>
          <w:i w:val="0"/>
          <w:caps w:val="0"/>
          <w:color w:val="auto"/>
          <w:spacing w:val="0"/>
          <w:sz w:val="32"/>
          <w:szCs w:val="32"/>
          <w:shd w:val="clear" w:fill="FFFFFF"/>
          <w:lang w:val="en-US" w:eastAsia="zh-CN"/>
        </w:rPr>
        <w:t>增加扶贫工作透明度，切实保障广大人民群众的知情权、参与权和监督权</w:t>
      </w:r>
      <w:r>
        <w:rPr>
          <w:rFonts w:hint="eastAsia" w:ascii="仿宋_GB2312" w:hAnsi="仿宋_GB2312" w:eastAsia="仿宋_GB2312" w:cs="仿宋_GB2312"/>
          <w:i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atLeast"/>
        <w:ind w:left="0" w:right="0" w:rightChars="0" w:firstLine="640"/>
        <w:jc w:val="both"/>
        <w:textAlignment w:val="auto"/>
        <w:outlineLvl w:val="9"/>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sz w:val="32"/>
          <w:szCs w:val="32"/>
          <w:lang w:val="en-US" w:eastAsia="zh-CN"/>
        </w:rPr>
        <w:t>主动公开政府信息情况。</w:t>
      </w:r>
      <w:r>
        <w:rPr>
          <w:rFonts w:hint="eastAsia" w:ascii="仿宋_GB2312" w:hAnsi="仿宋_GB2312" w:eastAsia="仿宋_GB2312" w:cs="仿宋_GB2312"/>
          <w:i w:val="0"/>
          <w:caps w:val="0"/>
          <w:color w:val="auto"/>
          <w:spacing w:val="0"/>
          <w:sz w:val="32"/>
          <w:szCs w:val="32"/>
          <w:shd w:val="clear" w:fill="FFFFFF"/>
          <w:lang w:eastAsia="zh-CN"/>
        </w:rPr>
        <w:t>波密县</w:t>
      </w:r>
      <w:r>
        <w:rPr>
          <w:rFonts w:hint="eastAsia" w:ascii="仿宋_GB2312" w:hAnsi="仿宋_GB2312" w:eastAsia="仿宋_GB2312" w:cs="仿宋_GB2312"/>
          <w:i w:val="0"/>
          <w:caps w:val="0"/>
          <w:color w:val="auto"/>
          <w:spacing w:val="0"/>
          <w:sz w:val="32"/>
          <w:szCs w:val="32"/>
          <w:shd w:val="clear" w:fill="FFFFFF"/>
        </w:rPr>
        <w:t>扶贫办严格落实有关规定，严把信息质量，切实做到应公开尽公开，主动公开</w:t>
      </w:r>
      <w:r>
        <w:rPr>
          <w:rFonts w:hint="eastAsia" w:ascii="仿宋_GB2312" w:hAnsi="仿宋_GB2312" w:eastAsia="仿宋_GB2312" w:cs="仿宋_GB2312"/>
          <w:i w:val="0"/>
          <w:caps w:val="0"/>
          <w:color w:val="auto"/>
          <w:spacing w:val="0"/>
          <w:sz w:val="32"/>
          <w:szCs w:val="32"/>
          <w:shd w:val="clear" w:fill="FFFFFF"/>
          <w:lang w:val="en-US" w:eastAsia="zh-CN"/>
        </w:rPr>
        <w:t>扶贫政策文件5份；通过微信公众号发布和转发扶贫信息 101条，其中县域扶贫工作动态信息54条。</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atLeast"/>
        <w:ind w:left="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依申请公开政府情况。</w:t>
      </w:r>
      <w:r>
        <w:rPr>
          <w:rFonts w:hint="eastAsia" w:ascii="仿宋_GB2312" w:hAnsi="仿宋_GB2312" w:eastAsia="仿宋_GB2312" w:cs="仿宋_GB2312"/>
          <w:color w:val="auto"/>
          <w:sz w:val="32"/>
          <w:szCs w:val="32"/>
          <w:lang w:val="en-US" w:eastAsia="zh-CN"/>
        </w:rPr>
        <w:t>2020年，波密县扶贫办未收到和处理任何关于政府信息公开的申请。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3.政府信息公开行政复议、行政诉讼情况。波密县扶贫办未出现因政府信息公开不及时导致的投诉举报和行政诉讼、行政复议案件情况。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4.政务公开平台建设情况。做好县扶贫办在县政府门户网站的维护和信息更新工作，及时公布扶贫领域动态信息。</w:t>
      </w:r>
    </w:p>
    <w:p>
      <w:pPr>
        <w:widowControl w:val="0"/>
        <w:numPr>
          <w:ilvl w:val="0"/>
          <w:numId w:val="0"/>
        </w:numPr>
        <w:wordWrap/>
        <w:adjustRightInd/>
        <w:snapToGrid/>
        <w:spacing w:before="0" w:beforeLines="0" w:after="0" w:afterLines="0" w:line="576" w:lineRule="exact"/>
        <w:ind w:left="0" w:leftChars="0" w:right="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sz w:val="32"/>
          <w:szCs w:val="32"/>
          <w:lang w:val="en-US" w:eastAsia="zh-CN"/>
        </w:rPr>
        <w:t xml:space="preserve"> 二、主动公开情况</w:t>
      </w:r>
    </w:p>
    <w:tbl>
      <w:tblPr>
        <w:tblStyle w:val="5"/>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12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2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76" w:lineRule="atLeast"/>
              <w:ind w:left="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1273"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76" w:lineRule="atLeast"/>
              <w:ind w:left="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21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76" w:lineRule="atLeast"/>
              <w:ind w:left="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12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2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76" w:lineRule="atLeast"/>
              <w:ind w:left="0" w:leftChars="0"/>
              <w:jc w:val="center"/>
              <w:textAlignment w:val="center"/>
              <w:rPr>
                <w:rFonts w:hint="eastAsia" w:ascii="宋体" w:hAnsi="宋体" w:eastAsia="宋体" w:cs="宋体"/>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126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76" w:lineRule="atLeast"/>
              <w:ind w:left="0" w:leftChars="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213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76" w:lineRule="atLeast"/>
              <w:ind w:left="0" w:leftChars="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12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2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12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21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c>
          <w:tcPr>
            <w:tcW w:w="340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０</w:t>
            </w:r>
          </w:p>
        </w:tc>
        <w:tc>
          <w:tcPr>
            <w:tcW w:w="3401"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０</w:t>
            </w:r>
          </w:p>
        </w:tc>
      </w:tr>
    </w:tbl>
    <w:p>
      <w:pPr>
        <w:keepNext w:val="0"/>
        <w:keepLines w:val="0"/>
        <w:pageBreakBefore w:val="0"/>
        <w:widowControl w:val="0"/>
        <w:numPr>
          <w:ilvl w:val="0"/>
          <w:numId w:val="0"/>
        </w:numPr>
        <w:kinsoku/>
        <w:wordWrap/>
        <w:overflowPunct/>
        <w:topLinePunct w:val="0"/>
        <w:autoSpaceDE/>
        <w:bidi w:val="0"/>
        <w:adjustRightInd/>
        <w:snapToGrid/>
        <w:spacing w:after="0" w:line="576" w:lineRule="atLeast"/>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三、收到和处理政府信息公开申请情况</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691"/>
        <w:gridCol w:w="2445"/>
        <w:gridCol w:w="687"/>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810" w:type="dxa"/>
            <w:gridSpan w:val="3"/>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（本列数据的勾稽关系为：第一项加第二项之和，等于第三项加第四项之和）</w:t>
            </w:r>
          </w:p>
        </w:tc>
        <w:tc>
          <w:tcPr>
            <w:tcW w:w="5470" w:type="dxa"/>
            <w:gridSpan w:val="7"/>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810" w:type="dxa"/>
            <w:gridSpan w:val="3"/>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87"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自然人</w:t>
            </w:r>
          </w:p>
        </w:tc>
        <w:tc>
          <w:tcPr>
            <w:tcW w:w="4078" w:type="dxa"/>
            <w:gridSpan w:val="5"/>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法人或其他组织</w:t>
            </w:r>
          </w:p>
        </w:tc>
        <w:tc>
          <w:tcPr>
            <w:tcW w:w="705"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810" w:type="dxa"/>
            <w:gridSpan w:val="3"/>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87"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商业企业</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科研机构</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社会公益组织</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法律服务机构</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其他</w:t>
            </w:r>
          </w:p>
        </w:tc>
        <w:tc>
          <w:tcPr>
            <w:tcW w:w="705"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810" w:type="dxa"/>
            <w:gridSpan w:val="3"/>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一、本年新收政府信息公开申请数量</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both"/>
              <w:textAlignment w:val="auto"/>
              <w:outlineLvl w:val="9"/>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810" w:type="dxa"/>
            <w:gridSpan w:val="3"/>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二、上年结转政府信息公开申请数量</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三、本年度办理结果</w:t>
            </w:r>
          </w:p>
        </w:tc>
        <w:tc>
          <w:tcPr>
            <w:tcW w:w="3136" w:type="dxa"/>
            <w:gridSpan w:val="2"/>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（一）予以公开</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3136" w:type="dxa"/>
            <w:gridSpan w:val="2"/>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（二）部分公开（区分处理的，只计这一情形，不计其他情形）</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（三）不予公开</w:t>
            </w: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1.属于国家秘密</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2.其他法律行政法规禁止公开</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3.危及“三安全一稳定”</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4.保护第三方合法权益</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5.属于三类内部事务息</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6.属于四类过程性信息</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7.属于行政执法案卷</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8.属于行政查询事项</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（四）无法提供</w:t>
            </w: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1.本机关不掌握相关政府信息</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2.没有现成信息需要另行制作</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3.补正后申请内容仍不明确</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restart"/>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（五）不予处理</w:t>
            </w: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1.信访举报投诉类申请</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2.重复申请</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3.要求提供公开出版物</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4.无正当理由大量反复申请</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691"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244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5.要求行政机关确认或重新出具已获取信息</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3136" w:type="dxa"/>
            <w:gridSpan w:val="2"/>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（六）其他处理</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p>
        </w:tc>
        <w:tc>
          <w:tcPr>
            <w:tcW w:w="3136" w:type="dxa"/>
            <w:gridSpan w:val="2"/>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（七）总计</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810" w:type="dxa"/>
            <w:gridSpan w:val="3"/>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四、结转下年度继续办理</w:t>
            </w:r>
          </w:p>
        </w:tc>
        <w:tc>
          <w:tcPr>
            <w:tcW w:w="68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０</w:t>
            </w:r>
          </w:p>
        </w:tc>
        <w:tc>
          <w:tcPr>
            <w:tcW w:w="76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67"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828"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993"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22"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c>
          <w:tcPr>
            <w:tcW w:w="705" w:type="dxa"/>
            <w:tcBorders>
              <w:tl2br w:val="nil"/>
              <w:tr2bl w:val="nil"/>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０</w:t>
            </w:r>
          </w:p>
        </w:tc>
      </w:tr>
    </w:tbl>
    <w:p>
      <w:pPr>
        <w:keepNext w:val="0"/>
        <w:keepLines w:val="0"/>
        <w:pageBreakBefore w:val="0"/>
        <w:widowControl w:val="0"/>
        <w:numPr>
          <w:ilvl w:val="0"/>
          <w:numId w:val="0"/>
        </w:numPr>
        <w:kinsoku/>
        <w:wordWrap/>
        <w:overflowPunct/>
        <w:topLinePunct w:val="0"/>
        <w:autoSpaceDE/>
        <w:bidi w:val="0"/>
        <w:adjustRightInd/>
        <w:snapToGrid/>
        <w:spacing w:after="0" w:line="576" w:lineRule="atLeast"/>
        <w:ind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结果维持</w:t>
            </w:r>
          </w:p>
        </w:tc>
        <w:tc>
          <w:tcPr>
            <w:tcW w:w="604"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ascii="宋体" w:hAnsi="宋体" w:cs="宋体"/>
                <w:color w:val="auto"/>
                <w:kern w:val="0"/>
                <w:szCs w:val="21"/>
              </w:rPr>
            </w:pPr>
          </w:p>
        </w:tc>
        <w:tc>
          <w:tcPr>
            <w:tcW w:w="60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ascii="宋体" w:hAnsi="宋体" w:cs="宋体"/>
                <w:color w:val="auto"/>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ascii="宋体" w:hAnsi="宋体" w:cs="宋体"/>
                <w:color w:val="auto"/>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ascii="宋体" w:hAnsi="宋体" w:cs="宋体"/>
                <w:color w:val="auto"/>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left"/>
              <w:textAlignment w:val="auto"/>
              <w:outlineLvl w:val="9"/>
              <w:rPr>
                <w:rFonts w:ascii="宋体" w:hAnsi="宋体" w:cs="宋体"/>
                <w:color w:val="auto"/>
                <w:kern w:val="0"/>
                <w:szCs w:val="21"/>
              </w:rPr>
            </w:pPr>
          </w:p>
        </w:tc>
        <w:tc>
          <w:tcPr>
            <w:tcW w:w="5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Calibri" w:hAnsi="Calibri"/>
                <w:color w:val="auto"/>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ascii="宋体" w:hAnsi="宋体" w:cs="宋体"/>
                <w:color w:val="auto"/>
                <w:kern w:val="0"/>
                <w:szCs w:val="21"/>
              </w:rPr>
            </w:pPr>
            <w:r>
              <w:rPr>
                <w:rFonts w:hint="eastAsia" w:ascii="宋体" w:hAnsi="宋体" w:cs="宋体"/>
                <w:color w:val="auto"/>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val="en-US" w:eastAsia="zh-CN"/>
              </w:rPr>
              <w:t>０</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5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val="en-US" w:eastAsia="zh-CN"/>
              </w:rPr>
              <w:t>０</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both"/>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rightChars="0" w:firstLine="0" w:firstLineChars="0"/>
              <w:jc w:val="center"/>
              <w:textAlignment w:val="auto"/>
              <w:outlineLvl w:val="9"/>
              <w:rPr>
                <w:rFonts w:ascii="宋体" w:hAnsi="宋体" w:cs="宋体"/>
                <w:color w:val="auto"/>
                <w:kern w:val="0"/>
                <w:szCs w:val="21"/>
              </w:rPr>
            </w:pPr>
            <w:r>
              <w:rPr>
                <w:rFonts w:hint="eastAsia" w:ascii="仿宋_GB2312" w:hAnsi="仿宋_GB2312" w:eastAsia="仿宋_GB2312" w:cs="仿宋_GB2312"/>
                <w:color w:val="auto"/>
                <w:kern w:val="0"/>
                <w:sz w:val="21"/>
                <w:szCs w:val="21"/>
                <w:lang w:eastAsia="zh-CN"/>
              </w:rPr>
              <w:t>０</w:t>
            </w:r>
          </w:p>
        </w:tc>
        <w:tc>
          <w:tcPr>
            <w:tcW w:w="60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bidi w:val="0"/>
              <w:adjustRightInd/>
              <w:snapToGrid/>
              <w:spacing w:after="0" w:line="576" w:lineRule="atLeast"/>
              <w:ind w:left="0" w:leftChars="0" w:right="0" w:firstLine="0" w:firstLineChars="0"/>
              <w:jc w:val="center"/>
              <w:textAlignment w:val="auto"/>
              <w:outlineLvl w:val="9"/>
              <w:rPr>
                <w:rFonts w:hint="eastAsia" w:ascii="宋体" w:hAnsi="宋体" w:eastAsia="宋体" w:cs="宋体"/>
                <w:color w:val="auto"/>
                <w:kern w:val="0"/>
                <w:szCs w:val="21"/>
                <w:lang w:val="en-US" w:eastAsia="zh-CN"/>
              </w:rPr>
            </w:pPr>
            <w:r>
              <w:rPr>
                <w:rFonts w:hint="eastAsia" w:ascii="仿宋_GB2312" w:hAnsi="仿宋_GB2312" w:eastAsia="仿宋_GB2312" w:cs="仿宋_GB2312"/>
                <w:color w:val="auto"/>
                <w:kern w:val="0"/>
                <w:sz w:val="21"/>
                <w:szCs w:val="21"/>
                <w:lang w:eastAsia="zh-CN"/>
              </w:rPr>
              <w:t>０</w:t>
            </w:r>
          </w:p>
        </w:tc>
      </w:tr>
    </w:tbl>
    <w:p>
      <w:pPr>
        <w:keepNext w:val="0"/>
        <w:keepLines w:val="0"/>
        <w:pageBreakBefore w:val="0"/>
        <w:widowControl/>
        <w:numPr>
          <w:ilvl w:val="0"/>
          <w:numId w:val="0"/>
        </w:numPr>
        <w:kinsoku/>
        <w:wordWrap/>
        <w:overflowPunct/>
        <w:topLinePunct w:val="0"/>
        <w:autoSpaceDE/>
        <w:bidi w:val="0"/>
        <w:adjustRightInd/>
        <w:snapToGrid/>
        <w:spacing w:line="576" w:lineRule="atLeast"/>
        <w:ind w:left="0"/>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五、</w:t>
      </w:r>
      <w:r>
        <w:rPr>
          <w:rFonts w:hint="eastAsia" w:ascii="黑体" w:hAnsi="黑体" w:eastAsia="黑体" w:cs="黑体"/>
          <w:b w:val="0"/>
          <w:bCs w:val="0"/>
          <w:color w:val="auto"/>
          <w:kern w:val="0"/>
          <w:sz w:val="32"/>
          <w:szCs w:val="32"/>
        </w:rPr>
        <w:t>存在的主要问题及改进情况</w:t>
      </w:r>
    </w:p>
    <w:p>
      <w:pPr>
        <w:keepNext w:val="0"/>
        <w:keepLines w:val="0"/>
        <w:pageBreakBefore w:val="0"/>
        <w:widowControl/>
        <w:numPr>
          <w:ilvl w:val="0"/>
          <w:numId w:val="0"/>
        </w:numPr>
        <w:kinsoku/>
        <w:wordWrap/>
        <w:overflowPunct/>
        <w:topLinePunct w:val="0"/>
        <w:autoSpaceDE/>
        <w:bidi w:val="0"/>
        <w:adjustRightInd/>
        <w:snapToGrid/>
        <w:spacing w:after="0" w:line="576" w:lineRule="atLeast"/>
        <w:ind w:left="0" w:right="0" w:firstLine="640" w:firstLineChars="200"/>
        <w:jc w:val="both"/>
        <w:textAlignment w:val="auto"/>
        <w:outlineLvl w:val="9"/>
        <w:rPr>
          <w:rFonts w:hint="eastAsia" w:ascii="黑体" w:hAnsi="黑体" w:eastAsia="黑体" w:cs="黑体"/>
          <w:b w:val="0"/>
          <w:bCs w:val="0"/>
          <w:color w:val="auto"/>
          <w:kern w:val="0"/>
          <w:sz w:val="32"/>
          <w:szCs w:val="32"/>
          <w:lang w:val="en-US" w:eastAsia="zh-CN"/>
        </w:rPr>
      </w:pPr>
      <w:r>
        <w:rPr>
          <w:rFonts w:hint="eastAsia" w:ascii="仿宋" w:hAnsi="仿宋" w:eastAsia="仿宋" w:cs="仿宋"/>
          <w:i w:val="0"/>
          <w:caps w:val="0"/>
          <w:color w:val="auto"/>
          <w:spacing w:val="0"/>
          <w:sz w:val="32"/>
          <w:szCs w:val="32"/>
          <w:shd w:val="clear" w:fill="FFFFFF"/>
          <w:lang w:val="en-US" w:eastAsia="zh-CN"/>
        </w:rPr>
        <w:t>2020年，波密县扶贫办</w:t>
      </w:r>
      <w:r>
        <w:rPr>
          <w:rFonts w:hint="eastAsia" w:ascii="仿宋" w:hAnsi="仿宋" w:eastAsia="仿宋" w:cs="仿宋"/>
          <w:i w:val="0"/>
          <w:caps w:val="0"/>
          <w:color w:val="auto"/>
          <w:spacing w:val="0"/>
          <w:sz w:val="32"/>
          <w:szCs w:val="32"/>
          <w:shd w:val="clear" w:fill="FFFFFF"/>
        </w:rPr>
        <w:t>在推进政府信息公开方面取得了新的进展，但也存在一些问题和不足，如新媒体的运用尚不够充分，</w:t>
      </w:r>
      <w:r>
        <w:rPr>
          <w:rFonts w:hint="eastAsia" w:ascii="仿宋_GB2312" w:hAnsi="仿宋_GB2312" w:eastAsia="仿宋_GB2312" w:cs="仿宋_GB2312"/>
          <w:i w:val="0"/>
          <w:caps w:val="0"/>
          <w:color w:val="auto"/>
          <w:spacing w:val="0"/>
          <w:sz w:val="32"/>
          <w:szCs w:val="32"/>
          <w:shd w:val="clear" w:fill="FFFFFF"/>
        </w:rPr>
        <w:t>社会公众</w:t>
      </w:r>
      <w:bookmarkStart w:id="0" w:name="_GoBack"/>
      <w:bookmarkEnd w:id="0"/>
      <w:r>
        <w:rPr>
          <w:rFonts w:hint="eastAsia" w:ascii="仿宋_GB2312" w:hAnsi="仿宋_GB2312" w:eastAsia="仿宋_GB2312" w:cs="仿宋_GB2312"/>
          <w:i w:val="0"/>
          <w:caps w:val="0"/>
          <w:color w:val="auto"/>
          <w:spacing w:val="0"/>
          <w:sz w:val="32"/>
          <w:szCs w:val="32"/>
          <w:shd w:val="clear" w:fill="FFFFFF"/>
        </w:rPr>
        <w:t>获取信息不够便捷、信息公开的机制建设有待进一步健全</w:t>
      </w:r>
      <w:r>
        <w:rPr>
          <w:rFonts w:hint="eastAsia" w:ascii="仿宋_GB2312" w:hAnsi="仿宋_GB2312" w:eastAsia="仿宋_GB2312" w:cs="仿宋_GB2312"/>
          <w:i w:val="0"/>
          <w:caps w:val="0"/>
          <w:color w:val="auto"/>
          <w:spacing w:val="0"/>
          <w:sz w:val="32"/>
          <w:szCs w:val="32"/>
          <w:shd w:val="clear" w:fill="FFFFFF"/>
          <w:lang w:eastAsia="zh-CN"/>
        </w:rPr>
        <w:t>等，</w:t>
      </w:r>
      <w:r>
        <w:rPr>
          <w:rFonts w:hint="eastAsia" w:ascii="仿宋" w:hAnsi="仿宋" w:eastAsia="仿宋" w:cs="仿宋"/>
          <w:i w:val="0"/>
          <w:caps w:val="0"/>
          <w:color w:val="auto"/>
          <w:spacing w:val="0"/>
          <w:sz w:val="32"/>
          <w:szCs w:val="32"/>
          <w:shd w:val="clear" w:fill="FFFFFF"/>
        </w:rPr>
        <w:t>针对以上问题，202</w:t>
      </w:r>
      <w:r>
        <w:rPr>
          <w:rFonts w:hint="eastAsia" w:ascii="仿宋" w:hAnsi="仿宋" w:eastAsia="仿宋" w:cs="仿宋"/>
          <w:i w:val="0"/>
          <w:caps w:val="0"/>
          <w:color w:val="auto"/>
          <w:spacing w:val="0"/>
          <w:sz w:val="32"/>
          <w:szCs w:val="32"/>
          <w:shd w:val="clear" w:fill="FFFFFF"/>
          <w:lang w:val="en-US" w:eastAsia="zh-CN"/>
        </w:rPr>
        <w:t>1</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eastAsia="zh-CN"/>
        </w:rPr>
        <w:t>波密县</w:t>
      </w:r>
      <w:r>
        <w:rPr>
          <w:rFonts w:hint="eastAsia" w:ascii="仿宋" w:hAnsi="仿宋" w:eastAsia="仿宋" w:cs="仿宋"/>
          <w:i w:val="0"/>
          <w:caps w:val="0"/>
          <w:color w:val="auto"/>
          <w:spacing w:val="0"/>
          <w:sz w:val="32"/>
          <w:szCs w:val="32"/>
          <w:shd w:val="clear" w:fill="FFFFFF"/>
        </w:rPr>
        <w:t>扶贫办将进一步加强对政务公开的组织领导，加大工作力量投入，完善制度机制，不断提高政务公开水平。</w:t>
      </w:r>
      <w:r>
        <w:rPr>
          <w:rFonts w:hint="eastAsia" w:ascii="仿宋" w:hAnsi="仿宋" w:eastAsia="仿宋" w:cs="仿宋"/>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lang w:val="en-US" w:eastAsia="zh-CN"/>
        </w:rPr>
        <w:t xml:space="preserve">  </w:t>
      </w:r>
    </w:p>
    <w:p>
      <w:pPr>
        <w:keepNext w:val="0"/>
        <w:keepLines w:val="0"/>
        <w:pageBreakBefore w:val="0"/>
        <w:widowControl/>
        <w:numPr>
          <w:ilvl w:val="0"/>
          <w:numId w:val="0"/>
        </w:numPr>
        <w:kinsoku/>
        <w:wordWrap/>
        <w:overflowPunct/>
        <w:topLinePunct w:val="0"/>
        <w:autoSpaceDE/>
        <w:bidi w:val="0"/>
        <w:adjustRightInd/>
        <w:snapToGrid/>
        <w:spacing w:after="0" w:line="576" w:lineRule="atLeast"/>
        <w:ind w:left="0" w:right="0" w:firstLine="640" w:firstLineChars="200"/>
        <w:jc w:val="both"/>
        <w:textAlignment w:val="auto"/>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 xml:space="preserve"> 六、</w:t>
      </w:r>
      <w:r>
        <w:rPr>
          <w:rFonts w:hint="eastAsia" w:ascii="黑体" w:hAnsi="黑体" w:eastAsia="黑体" w:cs="黑体"/>
          <w:b w:val="0"/>
          <w:bCs w:val="0"/>
          <w:color w:val="auto"/>
          <w:kern w:val="0"/>
          <w:sz w:val="32"/>
          <w:szCs w:val="32"/>
        </w:rPr>
        <w:t>其他需要报告的事项</w:t>
      </w:r>
    </w:p>
    <w:p>
      <w:pPr>
        <w:keepNext w:val="0"/>
        <w:keepLines w:val="0"/>
        <w:pageBreakBefore w:val="0"/>
        <w:widowControl w:val="0"/>
        <w:numPr>
          <w:ilvl w:val="0"/>
          <w:numId w:val="0"/>
        </w:numPr>
        <w:kinsoku/>
        <w:wordWrap/>
        <w:overflowPunct/>
        <w:topLinePunct w:val="0"/>
        <w:autoSpaceDE/>
        <w:bidi w:val="0"/>
        <w:adjustRightInd/>
        <w:snapToGrid/>
        <w:spacing w:after="0" w:line="576"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bidi w:val="0"/>
        <w:adjustRightInd/>
        <w:snapToGrid/>
        <w:spacing w:after="0" w:line="576"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波密县扶贫办</w:t>
      </w:r>
    </w:p>
    <w:p>
      <w:pPr>
        <w:keepNext w:val="0"/>
        <w:keepLines w:val="0"/>
        <w:pageBreakBefore w:val="0"/>
        <w:widowControl w:val="0"/>
        <w:numPr>
          <w:ilvl w:val="0"/>
          <w:numId w:val="0"/>
        </w:numPr>
        <w:kinsoku/>
        <w:wordWrap/>
        <w:overflowPunct/>
        <w:topLinePunct w:val="0"/>
        <w:autoSpaceDE/>
        <w:bidi w:val="0"/>
        <w:adjustRightInd/>
        <w:snapToGrid/>
        <w:spacing w:after="0" w:line="576" w:lineRule="atLeas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lang w:val="en-US" w:eastAsia="zh-CN"/>
        </w:rPr>
        <w:t xml:space="preserve">           2021年1月21日</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3O0AdABAACh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WyZ1&#10;eo8VFd17KovDOxhS5RRHCibSQxts+hIdRnnS9nzVVg2RyXRpvVqvS0pJys0O4RSP133A+F6BZcmo&#10;eaDHy5qK00eMY+lckro5uNPGUFxUxrG+5m9uVjf5wjVD4MZRj0RiHDZZcdgPE4M9NGci1tMC1NzR&#10;vnNmPjjSN+3KbITZ2M/G0Qd96PIypfbo3x4jTZOHTB1G2KkxvVymOW1ZWo2//Vz1+Gd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C3O0AdABAAChAwAADgAAAAAAAAABACAAAAAe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92079"/>
    <w:rsid w:val="04073613"/>
    <w:rsid w:val="04BD3D5E"/>
    <w:rsid w:val="055D34F7"/>
    <w:rsid w:val="057B552B"/>
    <w:rsid w:val="08770ED7"/>
    <w:rsid w:val="08CC3DB5"/>
    <w:rsid w:val="08EC5823"/>
    <w:rsid w:val="090E45B3"/>
    <w:rsid w:val="09903F23"/>
    <w:rsid w:val="0C87477E"/>
    <w:rsid w:val="0CB05794"/>
    <w:rsid w:val="10DC2BBC"/>
    <w:rsid w:val="129C4CA5"/>
    <w:rsid w:val="12EC7921"/>
    <w:rsid w:val="1394489B"/>
    <w:rsid w:val="15727126"/>
    <w:rsid w:val="158C51AE"/>
    <w:rsid w:val="15C31709"/>
    <w:rsid w:val="1A9C4640"/>
    <w:rsid w:val="1B3749F7"/>
    <w:rsid w:val="1BE6284B"/>
    <w:rsid w:val="1C93691D"/>
    <w:rsid w:val="1D185606"/>
    <w:rsid w:val="216742CF"/>
    <w:rsid w:val="22DC0455"/>
    <w:rsid w:val="243574CD"/>
    <w:rsid w:val="243E1ABB"/>
    <w:rsid w:val="254D35A6"/>
    <w:rsid w:val="26662767"/>
    <w:rsid w:val="26AB78FE"/>
    <w:rsid w:val="27224A28"/>
    <w:rsid w:val="29556CD5"/>
    <w:rsid w:val="29C81A48"/>
    <w:rsid w:val="2EB62677"/>
    <w:rsid w:val="30CB5DF5"/>
    <w:rsid w:val="30CF0003"/>
    <w:rsid w:val="343B59CB"/>
    <w:rsid w:val="34485A40"/>
    <w:rsid w:val="344976E7"/>
    <w:rsid w:val="349F3956"/>
    <w:rsid w:val="352006D1"/>
    <w:rsid w:val="3580568C"/>
    <w:rsid w:val="390239E5"/>
    <w:rsid w:val="3BA2044B"/>
    <w:rsid w:val="3C5E78A2"/>
    <w:rsid w:val="3C7204FD"/>
    <w:rsid w:val="49FA32A6"/>
    <w:rsid w:val="4D7042F9"/>
    <w:rsid w:val="4EBA3581"/>
    <w:rsid w:val="50755151"/>
    <w:rsid w:val="50C31985"/>
    <w:rsid w:val="50E774D3"/>
    <w:rsid w:val="51391287"/>
    <w:rsid w:val="51BF1EF3"/>
    <w:rsid w:val="536B130C"/>
    <w:rsid w:val="53904BAA"/>
    <w:rsid w:val="55742F7C"/>
    <w:rsid w:val="55875987"/>
    <w:rsid w:val="558C433E"/>
    <w:rsid w:val="55FA4627"/>
    <w:rsid w:val="5A3B1F4D"/>
    <w:rsid w:val="604E043A"/>
    <w:rsid w:val="622F2D4A"/>
    <w:rsid w:val="630779E9"/>
    <w:rsid w:val="6AB53B6B"/>
    <w:rsid w:val="6CD8344C"/>
    <w:rsid w:val="7050652F"/>
    <w:rsid w:val="75130DCA"/>
    <w:rsid w:val="76ED4BB1"/>
    <w:rsid w:val="7A970853"/>
    <w:rsid w:val="7B0C73A6"/>
    <w:rsid w:val="7C110482"/>
    <w:rsid w:val="7F3929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0"/>
    <w:rPr>
      <w:rFonts w:ascii="Times New Roman" w:hAnsi="Times New Roman" w:cs="Times New Roman"/>
      <w:szCs w:val="2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page number"/>
    <w:basedOn w:val="6"/>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9</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lenovo</dc:creator>
  <cp:lastModifiedBy>Administrator</cp:lastModifiedBy>
  <cp:lastPrinted>2021-01-22T03:04:00Z</cp:lastPrinted>
  <dcterms:modified xsi:type="dcterms:W3CDTF">2021-02-08T12:54:41Z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