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波密县易贡乡人民政府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wordWrap/>
        <w:adjustRightInd/>
        <w:snapToGrid/>
        <w:spacing w:before="0" w:after="0" w:line="55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w:t>
      </w:r>
      <w:bookmarkStart w:id="0" w:name="_GoBack"/>
      <w:bookmarkEnd w:id="0"/>
      <w:r>
        <w:rPr>
          <w:rFonts w:hint="eastAsia" w:ascii="仿宋_GB2312" w:hAnsi="仿宋_GB2312" w:eastAsia="仿宋_GB2312" w:cs="仿宋_GB2312"/>
          <w:sz w:val="32"/>
          <w:szCs w:val="32"/>
          <w:lang w:val="en-US" w:eastAsia="zh-CN"/>
        </w:rPr>
        <w:t>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auto"/>
          <w:sz w:val="32"/>
          <w:szCs w:val="32"/>
          <w:lang w:val="en-US" w:eastAsia="zh-CN"/>
        </w:rPr>
        <w:t>易贡乡人民政府</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波密县易贡乡人民政府</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林芝市波密县易贡乡贡仲村，</w:t>
      </w:r>
      <w:r>
        <w:rPr>
          <w:rFonts w:hint="eastAsia" w:ascii="仿宋_GB2312" w:hAnsi="仿宋_GB2312" w:eastAsia="仿宋_GB2312" w:cs="仿宋_GB2312"/>
          <w:sz w:val="32"/>
          <w:szCs w:val="32"/>
          <w:lang w:val="en-US" w:eastAsia="zh-CN"/>
        </w:rPr>
        <w:t>邮编：</w:t>
      </w:r>
      <w:r>
        <w:rPr>
          <w:rFonts w:hint="eastAsia" w:ascii="仿宋_GB2312" w:hAnsi="仿宋_GB2312" w:eastAsia="仿宋_GB2312" w:cs="仿宋_GB2312"/>
          <w:color w:val="auto"/>
          <w:sz w:val="32"/>
          <w:szCs w:val="32"/>
          <w:lang w:val="en-US" w:eastAsia="zh-CN"/>
        </w:rPr>
        <w:t>860315，</w:t>
      </w:r>
      <w:r>
        <w:rPr>
          <w:rFonts w:hint="eastAsia" w:ascii="仿宋_GB2312" w:hAnsi="仿宋_GB2312" w:eastAsia="仿宋_GB2312" w:cs="仿宋_GB2312"/>
          <w:color w:val="auto"/>
          <w:sz w:val="32"/>
          <w:szCs w:val="32"/>
          <w:lang w:val="en-US"/>
        </w:rPr>
        <w:t>电话：</w:t>
      </w:r>
      <w:r>
        <w:rPr>
          <w:rFonts w:hint="eastAsia" w:ascii="仿宋_GB2312" w:hAnsi="仿宋_GB2312" w:eastAsia="仿宋_GB2312" w:cs="仿宋_GB2312"/>
          <w:color w:val="auto"/>
          <w:sz w:val="32"/>
          <w:szCs w:val="32"/>
          <w:lang w:val="en-US" w:eastAsia="zh-CN"/>
        </w:rPr>
        <w:t>13549047240</w:t>
      </w:r>
      <w:r>
        <w:rPr>
          <w:rFonts w:hint="eastAsia" w:ascii="仿宋_GB2312" w:hAnsi="仿宋_GB2312" w:eastAsia="仿宋_GB2312" w:cs="仿宋_GB2312"/>
          <w:color w:val="auto"/>
          <w:sz w:val="32"/>
          <w:szCs w:val="32"/>
          <w:lang w:val="en-US"/>
        </w:rPr>
        <w:t>)。</w:t>
      </w:r>
    </w:p>
    <w:p>
      <w:pPr>
        <w:widowControl w:val="0"/>
        <w:numPr>
          <w:ilvl w:val="0"/>
          <w:numId w:val="0"/>
        </w:numPr>
        <w:wordWrap/>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黑体" w:hAnsi="黑体" w:eastAsia="黑体" w:cs="黑体"/>
          <w:sz w:val="32"/>
          <w:szCs w:val="32"/>
          <w:lang w:val="en-US" w:eastAsia="zh-CN"/>
        </w:rPr>
        <w:t xml:space="preserve"> 一、总体情况</w:t>
      </w:r>
    </w:p>
    <w:p>
      <w:pPr>
        <w:widowControl w:val="0"/>
        <w:wordWrap/>
        <w:adjustRightInd/>
        <w:snapToGrid/>
        <w:spacing w:before="0" w:after="0" w:line="55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1.主动公开政府信息情况。20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rPr>
        <w:t>年，全年议案提案办结数量</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件；通过</w:t>
      </w:r>
      <w:r>
        <w:rPr>
          <w:rFonts w:hint="eastAsia" w:ascii="仿宋_GB2312" w:hAnsi="仿宋_GB2312" w:eastAsia="仿宋_GB2312" w:cs="仿宋_GB2312"/>
          <w:color w:val="auto"/>
          <w:sz w:val="32"/>
          <w:szCs w:val="32"/>
          <w:lang w:val="en-US" w:eastAsia="zh-CN"/>
        </w:rPr>
        <w:t>乡政府LED宣传国家政策法规5条，宣传扶贫政策、措施及实施情况3条，宣传医疗政策4条，宣传教育政策1条。</w:t>
      </w:r>
    </w:p>
    <w:p>
      <w:pPr>
        <w:widowControl w:val="0"/>
        <w:wordWrap/>
        <w:adjustRightInd/>
        <w:snapToGrid/>
        <w:spacing w:before="0" w:after="0" w:line="55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2.平台建设方面。成立</w:t>
      </w:r>
      <w:r>
        <w:rPr>
          <w:rFonts w:hint="eastAsia" w:ascii="仿宋_GB2312" w:hAnsi="仿宋_GB2312" w:eastAsia="仿宋_GB2312" w:cs="仿宋_GB2312"/>
          <w:color w:val="auto"/>
          <w:sz w:val="32"/>
          <w:szCs w:val="32"/>
          <w:lang w:val="en-US" w:eastAsia="zh-CN"/>
        </w:rPr>
        <w:t>易贡乡</w:t>
      </w:r>
      <w:r>
        <w:rPr>
          <w:rFonts w:hint="eastAsia" w:ascii="仿宋_GB2312" w:hAnsi="仿宋_GB2312" w:eastAsia="仿宋_GB2312" w:cs="仿宋_GB2312"/>
          <w:color w:val="auto"/>
          <w:sz w:val="32"/>
          <w:szCs w:val="32"/>
          <w:lang w:val="en-US"/>
        </w:rPr>
        <w:t>信息系统宣传工领导组办公室，强化政务公开服务制度和经费保障，全面提高政府信息</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lang w:val="en-US"/>
        </w:rPr>
        <w:t>开服务水平。</w:t>
      </w:r>
    </w:p>
    <w:p>
      <w:pPr>
        <w:widowControl w:val="0"/>
        <w:wordWrap/>
        <w:adjustRightInd/>
        <w:snapToGrid/>
        <w:spacing w:before="0" w:after="0" w:line="55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3.依申请公开政府信息情况。20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rPr>
        <w:t>年我</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rPr>
        <w:t>未收到政府信息公开申请。</w:t>
      </w:r>
    </w:p>
    <w:p>
      <w:pPr>
        <w:widowControl w:val="0"/>
        <w:wordWrap/>
        <w:adjustRightInd/>
        <w:snapToGrid/>
        <w:spacing w:before="0" w:after="0" w:line="55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4.政府信息公开行政复议、行政诉讼情况。20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rPr>
        <w:t>年我</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lang w:val="en-US"/>
        </w:rPr>
        <w:t>未收到公开行政复议、行政诉讼的情况。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numPr>
          <w:ilvl w:val="0"/>
          <w:numId w:val="0"/>
        </w:numPr>
        <w:spacing w:line="576" w:lineRule="exact"/>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在看到成绩的同时，我们也清醒地认识到，政务公开工作还存在着一些问题:一是公开不够。我乡政府信息公开工作机制还不够完善，人员安排还不够科学，导致信息指标统计不及时，发布信息量少等问题。二是普及不够。信息公开面对社会宣传力度不够，下一步将利用多种渠道发布公开信息，提高农牧民对本乡有关信息的知晓率。2021年，我们将按照上级要求，继续大力推进政府信息公开工作，主要是做好以下几方面工作:一是加大学习、宣传、培训工作力度，重点加强政府信息公开条例的学习、宣传、培训。二是规范制度建设，建立一套行之有效，有操作性的相关制度，用于规范政府工作人员依法公开、真实公开，用于规范具体经办人员的日常工作行为。</w:t>
      </w:r>
    </w:p>
    <w:p>
      <w:pPr>
        <w:widowControl/>
        <w:numPr>
          <w:ilvl w:val="0"/>
          <w:numId w:val="0"/>
        </w:numPr>
        <w:spacing w:line="576" w:lineRule="exac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易贡乡人民政府</w:t>
      </w:r>
    </w:p>
    <w:p>
      <w:pPr>
        <w:widowControl w:val="0"/>
        <w:numPr>
          <w:ilvl w:val="0"/>
          <w:numId w:val="0"/>
        </w:numPr>
        <w:wordWrap/>
        <w:adjustRightInd/>
        <w:snapToGrid/>
        <w:spacing w:before="0" w:after="0" w:line="576" w:lineRule="exact"/>
        <w:ind w:left="0" w:leftChars="0" w:right="0" w:firstLine="640" w:firstLineChars="20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2021年2月2日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747375"/>
    <w:rsid w:val="04BE38EB"/>
    <w:rsid w:val="0D6A5B67"/>
    <w:rsid w:val="15A90126"/>
    <w:rsid w:val="1BE07093"/>
    <w:rsid w:val="1EB32D75"/>
    <w:rsid w:val="21A227B2"/>
    <w:rsid w:val="250310EB"/>
    <w:rsid w:val="27C044D7"/>
    <w:rsid w:val="28653604"/>
    <w:rsid w:val="355A7953"/>
    <w:rsid w:val="453D4A43"/>
    <w:rsid w:val="466C3B62"/>
    <w:rsid w:val="4D7942CA"/>
    <w:rsid w:val="54010C98"/>
    <w:rsid w:val="60544931"/>
    <w:rsid w:val="62B17B73"/>
    <w:rsid w:val="654E5164"/>
    <w:rsid w:val="67A35D38"/>
    <w:rsid w:val="6BC6344F"/>
    <w:rsid w:val="6FEF34B5"/>
    <w:rsid w:val="778B4F99"/>
    <w:rsid w:val="7BEB29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2021-02-05T01:25:00Z</cp:lastPrinted>
  <dcterms:modified xsi:type="dcterms:W3CDTF">2021-02-09T07:16:54Z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