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波密县公安局</w:t>
      </w:r>
    </w:p>
    <w:p>
      <w:pPr>
        <w:spacing w:line="55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rPr>
        <w:t>2020年政府信息公开工作年度报告</w:t>
      </w:r>
    </w:p>
    <w:p>
      <w:pPr>
        <w:spacing w:line="550" w:lineRule="exact"/>
        <w:ind w:firstLine="640" w:firstLineChars="200"/>
        <w:rPr>
          <w:rFonts w:hint="eastAsia" w:ascii="仿宋_GB2312" w:hAnsi="黑体" w:eastAsia="仿宋_GB2312" w:cs="黑体"/>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rPr>
        <w:t>根据《中华人民共和国政府信息公开条例》</w:t>
      </w:r>
      <w:r>
        <w:rPr>
          <w:rFonts w:hint="eastAsia" w:ascii="仿宋_GB2312" w:hAnsi="仿宋_GB2312" w:eastAsia="仿宋_GB2312" w:cs="仿宋_GB2312"/>
          <w:sz w:val="32"/>
          <w:szCs w:val="32"/>
          <w:lang w:val="en-US" w:eastAsia="zh-CN"/>
        </w:rPr>
        <w:t>（国务院令第711号，以下简称《条例》）以及《国务院办公厅政府信息与政务公开办公室关于政府信息公开工作年度报告有关事项的通知》（国办公开办函〔2019〕60号）相关要求，</w:t>
      </w:r>
      <w:r>
        <w:rPr>
          <w:rFonts w:hint="eastAsia" w:ascii="仿宋_GB2312" w:hAnsi="仿宋_GB2312" w:eastAsia="仿宋_GB2312" w:cs="仿宋_GB2312"/>
          <w:color w:val="auto"/>
          <w:sz w:val="32"/>
          <w:szCs w:val="32"/>
          <w:lang w:val="en-US"/>
        </w:rPr>
        <w:t>现公布</w:t>
      </w:r>
      <w:r>
        <w:rPr>
          <w:rFonts w:hint="eastAsia" w:ascii="仿宋_GB2312" w:hAnsi="仿宋_GB2312" w:eastAsia="仿宋_GB2312" w:cs="仿宋_GB2312"/>
          <w:color w:val="auto"/>
          <w:sz w:val="32"/>
          <w:szCs w:val="32"/>
          <w:lang w:val="en-US" w:eastAsia="zh-CN"/>
        </w:rPr>
        <w:t>波密县公安局</w:t>
      </w:r>
      <w:r>
        <w:rPr>
          <w:rFonts w:hint="eastAsia" w:ascii="仿宋_GB2312" w:hAnsi="仿宋_GB2312" w:eastAsia="仿宋_GB2312" w:cs="仿宋_GB2312"/>
          <w:color w:val="auto"/>
          <w:sz w:val="32"/>
          <w:szCs w:val="32"/>
          <w:lang w:val="en-US"/>
        </w:rPr>
        <w:t>2020年政府信息公开工作年度报告。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仿宋_GB2312" w:hAnsi="仿宋_GB2312" w:eastAsia="仿宋_GB2312" w:cs="仿宋_GB2312"/>
          <w:color w:val="auto"/>
          <w:sz w:val="32"/>
          <w:szCs w:val="32"/>
          <w:lang w:val="en-US"/>
        </w:rPr>
        <w:t>本报告包括</w:t>
      </w:r>
      <w:r>
        <w:rPr>
          <w:rFonts w:hint="eastAsia" w:ascii="仿宋_GB2312" w:hAnsi="仿宋_GB2312" w:eastAsia="仿宋_GB2312" w:cs="仿宋_GB2312"/>
          <w:sz w:val="32"/>
          <w:szCs w:val="32"/>
        </w:rPr>
        <w:t>政府信息公开总体情况、受到和处理政府信息公开申请情况、政府信息公开行政复议和行政诉讼情况、存在主要问题和改善情况、其他需要报告事项等六部分组成。本报告中所列数据的统计期限自2020年1月1日起至2020年12月31日。</w:t>
      </w:r>
      <w:r>
        <w:rPr>
          <w:rFonts w:hint="eastAsia" w:ascii="仿宋_GB2312" w:hAnsi="仿宋_GB2312" w:eastAsia="仿宋_GB2312" w:cs="仿宋_GB2312"/>
          <w:sz w:val="32"/>
          <w:szCs w:val="32"/>
          <w:lang w:val="en-US" w:eastAsia="zh-CN"/>
        </w:rPr>
        <w:t>报告电子版可在波密县人民政府网站进行下载（网址</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http://www.bomi.gov.cn</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rPr>
        <w:t>。公众如需进一步咨询了解相关信息，</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与波密县公安局办公室联系（地址：西藏自治区林芝市波密县扎木路12号，邮编：860300，电话：0894-5422348，电子邮箱：bmxgajbgs@163.com）</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ascii="黑体" w:hAnsi="黑体" w:eastAsia="黑体" w:cs="黑体"/>
          <w:sz w:val="32"/>
          <w:szCs w:val="32"/>
        </w:rPr>
      </w:pPr>
      <w:r>
        <w:rPr>
          <w:rFonts w:hint="eastAsia" w:ascii="黑体" w:hAnsi="黑体" w:eastAsia="黑体" w:cs="黑体"/>
          <w:sz w:val="32"/>
          <w:szCs w:val="32"/>
        </w:rPr>
        <w:t xml:space="preserve">    一、总体情况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2020年，波密县公安局认真贯彻落实区、市、县有关</w:t>
      </w:r>
      <w:r>
        <w:rPr>
          <w:rFonts w:hint="eastAsia" w:ascii="仿宋_GB2312" w:hAnsi="仿宋_GB2312" w:eastAsia="仿宋_GB2312" w:cs="仿宋_GB2312"/>
          <w:sz w:val="32"/>
          <w:szCs w:val="32"/>
          <w:lang w:val="en-US" w:eastAsia="zh-CN"/>
        </w:rPr>
        <w:t>政府</w:t>
      </w:r>
      <w:r>
        <w:rPr>
          <w:rFonts w:hint="eastAsia" w:ascii="仿宋_GB2312" w:hAnsi="仿宋_GB2312" w:eastAsia="仿宋_GB2312" w:cs="仿宋_GB2312"/>
          <w:sz w:val="32"/>
          <w:szCs w:val="32"/>
        </w:rPr>
        <w:t>信息公开工作文件精神，根据《条例》的规定和要求，紧密结合工作实际，进一步完善工作机制、扩宽公开渠道、深化公开内容，认真推进落实政府信息公开工作，有效保证了社会公众的知情权、参与权、表达权和监督权。</w:t>
      </w:r>
      <w:r>
        <w:rPr>
          <w:rFonts w:hint="eastAsia" w:ascii="仿宋_GB2312" w:hAnsi="仿宋_GB2312" w:eastAsia="仿宋_GB2312" w:cs="仿宋_GB2312"/>
          <w:sz w:val="32"/>
          <w:szCs w:val="32"/>
          <w:lang w:val="en-US" w:eastAsia="zh-CN"/>
        </w:rPr>
        <w:t>今年我局未出现因政府信息公开不及时导致的投诉举报和行政诉讼、行政复议案件情况。</w:t>
      </w:r>
    </w:p>
    <w:p>
      <w:pPr>
        <w:spacing w:line="576" w:lineRule="exact"/>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二、主动公开情况</w:t>
      </w:r>
    </w:p>
    <w:tbl>
      <w:tblPr>
        <w:tblStyle w:val="4"/>
        <w:tblW w:w="8860" w:type="dxa"/>
        <w:jc w:val="center"/>
        <w:tblLayout w:type="fixed"/>
        <w:tblCellMar>
          <w:top w:w="0" w:type="dxa"/>
          <w:left w:w="108" w:type="dxa"/>
          <w:bottom w:w="0" w:type="dxa"/>
          <w:right w:w="108" w:type="dxa"/>
        </w:tblCellMar>
      </w:tblPr>
      <w:tblGrid>
        <w:gridCol w:w="3383"/>
        <w:gridCol w:w="2070"/>
        <w:gridCol w:w="6"/>
        <w:gridCol w:w="1267"/>
        <w:gridCol w:w="2134"/>
      </w:tblGrid>
      <w:tr>
        <w:tblPrEx>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第二十条第（一）项</w:t>
            </w:r>
          </w:p>
        </w:tc>
      </w:tr>
      <w:tr>
        <w:tblPrEx>
          <w:tblCellMar>
            <w:top w:w="0" w:type="dxa"/>
            <w:left w:w="108" w:type="dxa"/>
            <w:bottom w:w="0" w:type="dxa"/>
            <w:right w:w="108" w:type="dxa"/>
          </w:tblCellMar>
        </w:tblPrEx>
        <w:trPr>
          <w:trHeight w:val="923"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信息内容</w:t>
            </w:r>
          </w:p>
        </w:tc>
        <w:tc>
          <w:tcPr>
            <w:tcW w:w="207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本年新</w:t>
            </w:r>
            <w:r>
              <w:rPr>
                <w:rFonts w:hint="eastAsia" w:ascii="宋体" w:hAnsi="宋体" w:cs="宋体"/>
                <w:kern w:val="0"/>
                <w:sz w:val="20"/>
                <w:szCs w:val="20"/>
              </w:rPr>
              <w:br w:type="textWrapping"/>
            </w:r>
            <w:r>
              <w:rPr>
                <w:rFonts w:hint="eastAsia" w:ascii="宋体" w:hAnsi="宋体" w:cs="宋体"/>
                <w:kern w:val="0"/>
                <w:sz w:val="20"/>
                <w:szCs w:val="20"/>
              </w:rPr>
              <w:t>制作数量</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本年新</w:t>
            </w:r>
            <w:r>
              <w:rPr>
                <w:rFonts w:hint="eastAsia" w:ascii="宋体" w:hAnsi="宋体" w:cs="宋体"/>
                <w:kern w:val="0"/>
                <w:sz w:val="20"/>
                <w:szCs w:val="20"/>
              </w:rPr>
              <w:br w:type="textWrapping"/>
            </w:r>
            <w:r>
              <w:rPr>
                <w:rFonts w:hint="eastAsia" w:ascii="宋体" w:hAnsi="宋体" w:cs="宋体"/>
                <w:kern w:val="0"/>
                <w:sz w:val="20"/>
                <w:szCs w:val="20"/>
              </w:rPr>
              <w:t>公开数量</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对外公开总数量</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规章</w:t>
            </w:r>
          </w:p>
        </w:tc>
        <w:tc>
          <w:tcPr>
            <w:tcW w:w="207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规范性文件</w:t>
            </w:r>
          </w:p>
        </w:tc>
        <w:tc>
          <w:tcPr>
            <w:tcW w:w="2070" w:type="dxa"/>
            <w:tcBorders>
              <w:top w:val="nil"/>
              <w:left w:val="nil"/>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1273" w:type="dxa"/>
            <w:gridSpan w:val="2"/>
            <w:tcBorders>
              <w:top w:val="nil"/>
              <w:left w:val="nil"/>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2134" w:type="dxa"/>
            <w:tcBorders>
              <w:top w:val="nil"/>
              <w:left w:val="nil"/>
              <w:bottom w:val="single" w:color="auto" w:sz="4" w:space="0"/>
              <w:right w:val="single" w:color="auto" w:sz="4" w:space="0"/>
            </w:tcBorders>
            <w:vAlign w:val="center"/>
          </w:tcPr>
          <w:p>
            <w:pPr>
              <w:autoSpaceDN w:val="0"/>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第二十条第（五）项</w:t>
            </w:r>
          </w:p>
        </w:tc>
      </w:tr>
      <w:tr>
        <w:tblPrEx>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信息内容</w:t>
            </w:r>
          </w:p>
        </w:tc>
        <w:tc>
          <w:tcPr>
            <w:tcW w:w="207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上一年项目数量</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本年增/减</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处理决定数量</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行政许可</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23</w:t>
            </w:r>
          </w:p>
        </w:tc>
        <w:tc>
          <w:tcPr>
            <w:tcW w:w="1267"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其他对外管理服务事项</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0</w:t>
            </w:r>
          </w:p>
        </w:tc>
        <w:tc>
          <w:tcPr>
            <w:tcW w:w="1267"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第二十条第（六）项</w:t>
            </w:r>
          </w:p>
        </w:tc>
      </w:tr>
      <w:tr>
        <w:tblPrEx>
          <w:tblCellMar>
            <w:top w:w="0" w:type="dxa"/>
            <w:left w:w="108" w:type="dxa"/>
            <w:bottom w:w="0" w:type="dxa"/>
            <w:right w:w="108" w:type="dxa"/>
          </w:tblCellMar>
        </w:tblPrEx>
        <w:trPr>
          <w:trHeight w:val="480"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信息内容</w:t>
            </w:r>
          </w:p>
        </w:tc>
        <w:tc>
          <w:tcPr>
            <w:tcW w:w="207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上一年项目数量</w:t>
            </w:r>
          </w:p>
        </w:tc>
        <w:tc>
          <w:tcPr>
            <w:tcW w:w="1273"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本年增/减</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处理决定数量</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行政处罚</w:t>
            </w:r>
          </w:p>
        </w:tc>
        <w:tc>
          <w:tcPr>
            <w:tcW w:w="2076" w:type="dxa"/>
            <w:gridSpan w:val="2"/>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295</w:t>
            </w:r>
          </w:p>
        </w:tc>
        <w:tc>
          <w:tcPr>
            <w:tcW w:w="1267"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56</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行政强制</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47</w:t>
            </w:r>
          </w:p>
        </w:tc>
        <w:tc>
          <w:tcPr>
            <w:tcW w:w="1267"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c>
          <w:tcPr>
            <w:tcW w:w="2134" w:type="dxa"/>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0</w:t>
            </w:r>
          </w:p>
        </w:tc>
      </w:tr>
      <w:tr>
        <w:tblPrEx>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第二十条第（八）项</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信息内容</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上一年项目数量</w:t>
            </w:r>
          </w:p>
        </w:tc>
        <w:tc>
          <w:tcPr>
            <w:tcW w:w="3401"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本年增/减</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行政事业性收费</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4</w:t>
            </w:r>
          </w:p>
        </w:tc>
        <w:tc>
          <w:tcPr>
            <w:tcW w:w="3401"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r>
      <w:tr>
        <w:tblPrEx>
          <w:tblCellMar>
            <w:top w:w="0" w:type="dxa"/>
            <w:left w:w="108" w:type="dxa"/>
            <w:bottom w:w="0" w:type="dxa"/>
            <w:right w:w="108" w:type="dxa"/>
          </w:tblCellMar>
        </w:tblPrEx>
        <w:trPr>
          <w:trHeight w:val="477" w:hRule="atLeast"/>
          <w:jc w:val="center"/>
        </w:trPr>
        <w:tc>
          <w:tcPr>
            <w:tcW w:w="8860" w:type="dxa"/>
            <w:gridSpan w:val="5"/>
            <w:tcBorders>
              <w:top w:val="single" w:color="auto" w:sz="4" w:space="0"/>
              <w:left w:val="single" w:color="auto" w:sz="4" w:space="0"/>
              <w:bottom w:val="single" w:color="auto" w:sz="4" w:space="0"/>
              <w:right w:val="single" w:color="auto" w:sz="4" w:space="0"/>
            </w:tcBorders>
            <w:shd w:val="clear" w:color="auto" w:fill="C6D9F1"/>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第二十条第（九）项</w:t>
            </w:r>
          </w:p>
        </w:tc>
      </w:tr>
      <w:tr>
        <w:tblPrEx>
          <w:tblCellMar>
            <w:top w:w="0" w:type="dxa"/>
            <w:left w:w="108" w:type="dxa"/>
            <w:bottom w:w="0" w:type="dxa"/>
            <w:right w:w="108" w:type="dxa"/>
          </w:tblCellMar>
        </w:tblPrEx>
        <w:trPr>
          <w:trHeight w:val="477"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信息内容</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采购项目数量</w:t>
            </w:r>
          </w:p>
        </w:tc>
        <w:tc>
          <w:tcPr>
            <w:tcW w:w="3401"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采购总金额</w:t>
            </w:r>
          </w:p>
        </w:tc>
      </w:tr>
      <w:tr>
        <w:tblPrEx>
          <w:tblCellMar>
            <w:top w:w="0" w:type="dxa"/>
            <w:left w:w="108" w:type="dxa"/>
            <w:bottom w:w="0" w:type="dxa"/>
            <w:right w:w="108" w:type="dxa"/>
          </w:tblCellMar>
        </w:tblPrEx>
        <w:trPr>
          <w:trHeight w:val="509" w:hRule="atLeast"/>
          <w:jc w:val="center"/>
        </w:trPr>
        <w:tc>
          <w:tcPr>
            <w:tcW w:w="3383"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0"/>
                <w:szCs w:val="20"/>
              </w:rPr>
            </w:pPr>
            <w:r>
              <w:rPr>
                <w:rFonts w:hint="eastAsia" w:ascii="宋体" w:hAnsi="宋体" w:cs="宋体"/>
                <w:kern w:val="0"/>
                <w:sz w:val="20"/>
                <w:szCs w:val="20"/>
              </w:rPr>
              <w:t>政府集中采购</w:t>
            </w:r>
          </w:p>
        </w:tc>
        <w:tc>
          <w:tcPr>
            <w:tcW w:w="2076" w:type="dxa"/>
            <w:gridSpan w:val="2"/>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0</w:t>
            </w:r>
          </w:p>
        </w:tc>
        <w:tc>
          <w:tcPr>
            <w:tcW w:w="3401" w:type="dxa"/>
            <w:gridSpan w:val="2"/>
            <w:tcBorders>
              <w:top w:val="single" w:color="auto"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0</w:t>
            </w:r>
            <w:bookmarkStart w:id="0" w:name="_GoBack"/>
            <w:bookmarkEnd w:id="0"/>
          </w:p>
        </w:tc>
      </w:tr>
    </w:tbl>
    <w:p>
      <w:pPr>
        <w:spacing w:line="576" w:lineRule="exact"/>
        <w:rPr>
          <w:rFonts w:ascii="黑体" w:hAnsi="黑体" w:eastAsia="黑体" w:cs="黑体"/>
          <w:sz w:val="32"/>
          <w:szCs w:val="32"/>
        </w:rPr>
      </w:pPr>
      <w:r>
        <w:rPr>
          <w:rFonts w:hint="eastAsia" w:ascii="黑体" w:hAnsi="黑体" w:eastAsia="黑体" w:cs="黑体"/>
          <w:sz w:val="32"/>
          <w:szCs w:val="32"/>
        </w:rPr>
        <w:t xml:space="preserve">    三、收到和处理政府信息公开申请情况</w:t>
      </w:r>
    </w:p>
    <w:tbl>
      <w:tblPr>
        <w:tblStyle w:val="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58"/>
        <w:gridCol w:w="2137"/>
        <w:gridCol w:w="828"/>
        <w:gridCol w:w="768"/>
        <w:gridCol w:w="767"/>
        <w:gridCol w:w="828"/>
        <w:gridCol w:w="993"/>
        <w:gridCol w:w="722"/>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669" w:type="dxa"/>
            <w:gridSpan w:val="3"/>
            <w:vMerge w:val="restart"/>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（本列数据的勾稽关系为：第一项加第二项之和，等于第三项加第四项之和）</w:t>
            </w:r>
          </w:p>
        </w:tc>
        <w:tc>
          <w:tcPr>
            <w:tcW w:w="5611" w:type="dxa"/>
            <w:gridSpan w:val="7"/>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669" w:type="dxa"/>
            <w:gridSpan w:val="3"/>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28" w:type="dxa"/>
            <w:vMerge w:val="restart"/>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自然人</w:t>
            </w:r>
          </w:p>
        </w:tc>
        <w:tc>
          <w:tcPr>
            <w:tcW w:w="4078" w:type="dxa"/>
            <w:gridSpan w:val="5"/>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法人或其他组织</w:t>
            </w:r>
          </w:p>
        </w:tc>
        <w:tc>
          <w:tcPr>
            <w:tcW w:w="705" w:type="dxa"/>
            <w:vMerge w:val="restart"/>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3669" w:type="dxa"/>
            <w:gridSpan w:val="3"/>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2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商业企业</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科研机构</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社会公益组织</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法律服务机构</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其他</w:t>
            </w:r>
          </w:p>
        </w:tc>
        <w:tc>
          <w:tcPr>
            <w:tcW w:w="705"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669" w:type="dxa"/>
            <w:gridSpan w:val="3"/>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一、本年新收政府信息公开申请数量</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669" w:type="dxa"/>
            <w:gridSpan w:val="3"/>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二、上年结转政府信息公开申请数量</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74" w:type="dxa"/>
            <w:vMerge w:val="restart"/>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三、本年度办理结果</w:t>
            </w:r>
          </w:p>
        </w:tc>
        <w:tc>
          <w:tcPr>
            <w:tcW w:w="2995" w:type="dxa"/>
            <w:gridSpan w:val="2"/>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（一）予以公开</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995" w:type="dxa"/>
            <w:gridSpan w:val="2"/>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（二）部分公开（区分处理的，只计这一情形，不计其他情形）</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restart"/>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（三）不予公开</w:t>
            </w: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1.属于国家秘密</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2.其他法律行政法规禁止公开</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3.危及“三安全一稳定”</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4.保护第三方合法权益</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5.属于三类内部事务信息</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6.属于四类过程性信息</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7.属于行政执法案卷</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8.属于行政查询事项</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restart"/>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（四）无法提供</w:t>
            </w: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1.本机关不掌握相关政府信息</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2.没有现成信息需要另行制作</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3.补正后申请内容仍不明确</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restart"/>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（五）不予处理</w:t>
            </w: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1.信访举报投诉类申请</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2.重复申请</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3.要求提供公开出版物</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4.无正当理由大量反复申请</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858"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137" w:type="dxa"/>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5.要求行政机关确认或重新出具已获取信息</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995" w:type="dxa"/>
            <w:gridSpan w:val="2"/>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（六）其他处理</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74" w:type="dxa"/>
            <w:vMerge w:val="continue"/>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p>
        </w:tc>
        <w:tc>
          <w:tcPr>
            <w:tcW w:w="2995" w:type="dxa"/>
            <w:gridSpan w:val="2"/>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（七）总计</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669" w:type="dxa"/>
            <w:gridSpan w:val="3"/>
            <w:tcBorders>
              <w:tl2br w:val="nil"/>
              <w:tr2bl w:val="nil"/>
            </w:tcBorders>
            <w:vAlign w:val="center"/>
          </w:tcPr>
          <w:p>
            <w:pPr>
              <w:widowControl/>
              <w:spacing w:line="300" w:lineRule="exact"/>
              <w:jc w:val="left"/>
              <w:rPr>
                <w:rFonts w:ascii="仿宋_GB2312" w:hAnsi="仿宋_GB2312" w:eastAsia="仿宋_GB2312" w:cs="仿宋_GB2312"/>
                <w:color w:val="333333"/>
                <w:kern w:val="0"/>
                <w:szCs w:val="21"/>
              </w:rPr>
            </w:pPr>
            <w:r>
              <w:rPr>
                <w:rFonts w:hint="eastAsia" w:ascii="仿宋_GB2312" w:hAnsi="仿宋_GB2312" w:eastAsia="仿宋_GB2312" w:cs="仿宋_GB2312"/>
                <w:color w:val="333333"/>
                <w:szCs w:val="21"/>
              </w:rPr>
              <w:t>四、结转下年度继续办理</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67"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828"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993"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22"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c>
          <w:tcPr>
            <w:tcW w:w="705" w:type="dxa"/>
            <w:tcBorders>
              <w:tl2br w:val="nil"/>
              <w:tr2bl w:val="nil"/>
            </w:tcBorders>
            <w:vAlign w:val="center"/>
          </w:tcPr>
          <w:p>
            <w:pPr>
              <w:widowControl/>
              <w:spacing w:line="300" w:lineRule="exact"/>
              <w:jc w:val="center"/>
              <w:rPr>
                <w:rFonts w:ascii="仿宋_GB2312" w:hAnsi="仿宋_GB2312" w:eastAsia="仿宋_GB2312" w:cs="仿宋_GB2312"/>
                <w:color w:val="333333"/>
                <w:kern w:val="0"/>
                <w:szCs w:val="21"/>
              </w:rPr>
            </w:pPr>
            <w:r>
              <w:rPr>
                <w:rFonts w:hint="eastAsia" w:ascii="仿宋_GB2312" w:hAnsi="仿宋_GB2312" w:eastAsia="仿宋_GB2312" w:cs="仿宋_GB2312"/>
                <w:color w:val="333333"/>
                <w:kern w:val="0"/>
                <w:szCs w:val="21"/>
              </w:rPr>
              <w:t>0</w:t>
            </w:r>
          </w:p>
        </w:tc>
      </w:tr>
    </w:tbl>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4"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行政复议</w:t>
            </w:r>
          </w:p>
        </w:tc>
        <w:tc>
          <w:tcPr>
            <w:tcW w:w="5997" w:type="dxa"/>
            <w:gridSpan w:val="10"/>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restart"/>
            <w:tcBorders>
              <w:top w:val="nil"/>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结果维持</w:t>
            </w:r>
          </w:p>
        </w:tc>
        <w:tc>
          <w:tcPr>
            <w:tcW w:w="604" w:type="dxa"/>
            <w:vMerge w:val="restart"/>
            <w:tcBorders>
              <w:top w:val="nil"/>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结果纠正</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其他结果</w:t>
            </w:r>
          </w:p>
        </w:tc>
        <w:tc>
          <w:tcPr>
            <w:tcW w:w="604"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尚未审结</w:t>
            </w:r>
          </w:p>
        </w:tc>
        <w:tc>
          <w:tcPr>
            <w:tcW w:w="658" w:type="dxa"/>
            <w:vMerge w:val="restart"/>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总计</w:t>
            </w:r>
          </w:p>
        </w:tc>
        <w:tc>
          <w:tcPr>
            <w:tcW w:w="2970"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未经复议直接起诉</w:t>
            </w:r>
          </w:p>
        </w:tc>
        <w:tc>
          <w:tcPr>
            <w:tcW w:w="3027" w:type="dxa"/>
            <w:gridSpan w:val="5"/>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04"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04"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658"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宋体" w:hAnsi="宋体" w:cs="宋体"/>
                <w:color w:val="333333"/>
                <w:kern w:val="0"/>
                <w:szCs w:val="21"/>
              </w:rPr>
            </w:pPr>
          </w:p>
        </w:tc>
        <w:tc>
          <w:tcPr>
            <w:tcW w:w="55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其他结果</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尚未审结</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总计</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结果维持</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结果纠正</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其他结果</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Calibri" w:hAnsi="Calibri"/>
                <w:color w:val="333333"/>
                <w:sz w:val="20"/>
                <w:szCs w:val="20"/>
              </w:rPr>
              <w:t>尚未审结</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0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4"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58"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550"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c>
          <w:tcPr>
            <w:tcW w:w="606"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宋体" w:hAnsi="宋体" w:cs="宋体"/>
                <w:color w:val="333333"/>
                <w:kern w:val="0"/>
                <w:szCs w:val="21"/>
              </w:rPr>
            </w:pPr>
            <w:r>
              <w:rPr>
                <w:rFonts w:hint="eastAsia" w:ascii="宋体" w:hAnsi="宋体" w:cs="宋体"/>
                <w:color w:val="333333"/>
                <w:kern w:val="0"/>
                <w:szCs w:val="21"/>
              </w:rPr>
              <w:t>0</w:t>
            </w:r>
          </w:p>
        </w:tc>
      </w:tr>
    </w:tbl>
    <w:p>
      <w:pPr>
        <w:widowControl/>
        <w:spacing w:line="576" w:lineRule="exact"/>
        <w:rPr>
          <w:rFonts w:ascii="黑体" w:hAnsi="黑体" w:eastAsia="黑体" w:cs="黑体"/>
          <w:color w:val="333333"/>
          <w:kern w:val="0"/>
          <w:sz w:val="32"/>
          <w:szCs w:val="32"/>
        </w:rPr>
      </w:pPr>
      <w:r>
        <w:rPr>
          <w:rFonts w:hint="eastAsia" w:ascii="黑体" w:hAnsi="黑体" w:eastAsia="黑体" w:cs="黑体"/>
          <w:color w:val="333333"/>
          <w:kern w:val="0"/>
          <w:sz w:val="32"/>
          <w:szCs w:val="32"/>
        </w:rPr>
        <w:t xml:space="preserve">    五、存在的主要问题及改进情况</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1、存在的问题：</w:t>
      </w:r>
      <w:r>
        <w:rPr>
          <w:rFonts w:hint="eastAsia" w:ascii="仿宋_GB2312" w:hAnsi="仿宋_GB2312" w:eastAsia="仿宋_GB2312" w:cs="仿宋_GB2312"/>
          <w:sz w:val="32"/>
          <w:szCs w:val="32"/>
        </w:rPr>
        <w:t>2020年以来，波密县公安局在政府信息公开方面做了大量工作，但仍然存在一些问题，主要包括公开力度不够，信息公开方式单一等问题。</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2、改进措施：</w:t>
      </w:r>
      <w:r>
        <w:rPr>
          <w:rFonts w:hint="eastAsia" w:ascii="仿宋_GB2312" w:hAnsi="仿宋_GB2312" w:eastAsia="仿宋_GB2312" w:cs="仿宋_GB2312"/>
          <w:sz w:val="32"/>
          <w:szCs w:val="32"/>
        </w:rPr>
        <w:t>一是强化组织领导，指定专人兼职做好信息公开工作；二是加强政府信息公开工作理论学习和业务培训,不断提高</w:t>
      </w:r>
      <w:r>
        <w:rPr>
          <w:rFonts w:hint="eastAsia" w:ascii="仿宋_GB2312" w:hAnsi="仿宋_GB2312" w:eastAsia="仿宋_GB2312" w:cs="仿宋_GB2312"/>
          <w:sz w:val="32"/>
          <w:szCs w:val="32"/>
          <w:lang w:val="en-US" w:eastAsia="zh-CN"/>
        </w:rPr>
        <w:t>波密县</w:t>
      </w:r>
      <w:r>
        <w:rPr>
          <w:rFonts w:hint="eastAsia" w:ascii="仿宋_GB2312" w:hAnsi="仿宋_GB2312" w:eastAsia="仿宋_GB2312" w:cs="仿宋_GB2312"/>
          <w:sz w:val="32"/>
          <w:szCs w:val="32"/>
        </w:rPr>
        <w:t>公安局政府信息公开工作整体水平。</w:t>
      </w:r>
      <w:r>
        <w:rPr>
          <w:rFonts w:ascii="仿宋_GB2312" w:hAnsi="仿宋_GB2312" w:eastAsia="仿宋_GB2312" w:cs="仿宋_GB2312"/>
          <w:sz w:val="32"/>
          <w:szCs w:val="32"/>
        </w:rPr>
        <w:t xml:space="preserve"> </w:t>
      </w:r>
    </w:p>
    <w:p>
      <w:pPr>
        <w:widowControl/>
        <w:spacing w:line="578" w:lineRule="exact"/>
        <w:rPr>
          <w:rFonts w:ascii="黑体" w:hAnsi="黑体" w:eastAsia="黑体" w:cs="黑体"/>
          <w:color w:val="333333"/>
          <w:kern w:val="0"/>
          <w:sz w:val="32"/>
          <w:szCs w:val="32"/>
        </w:rPr>
      </w:pPr>
      <w:r>
        <w:rPr>
          <w:rFonts w:hint="eastAsia" w:ascii="黑体" w:hAnsi="黑体" w:eastAsia="黑体" w:cs="黑体"/>
          <w:color w:val="333333"/>
          <w:kern w:val="0"/>
          <w:sz w:val="32"/>
          <w:szCs w:val="32"/>
        </w:rPr>
        <w:t xml:space="preserve">    六、其他需要报告的事项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76" w:lineRule="exact"/>
        <w:ind w:firstLine="640" w:firstLineChars="200"/>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p>
    <w:p>
      <w:pPr>
        <w:spacing w:line="576"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波密县公安局</w:t>
      </w:r>
    </w:p>
    <w:p>
      <w:pPr>
        <w:spacing w:line="576" w:lineRule="exact"/>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2021年1月19日</w:t>
      </w:r>
    </w:p>
    <w:p>
      <w:pPr>
        <w:spacing w:line="576" w:lineRule="exact"/>
        <w:ind w:firstLine="640" w:firstLineChars="200"/>
        <w:rPr>
          <w:rFonts w:ascii="仿宋_GB2312" w:hAnsi="仿宋_GB2312" w:eastAsia="仿宋_GB2312" w:cs="仿宋_GB2312"/>
          <w:sz w:val="32"/>
          <w:szCs w:val="32"/>
        </w:rPr>
      </w:pPr>
    </w:p>
    <w:sectPr>
      <w:footerReference r:id="rId3" w:type="default"/>
      <w:pgSz w:w="11906" w:h="16838"/>
      <w:pgMar w:top="2154" w:right="1474" w:bottom="1134" w:left="1531" w:header="720" w:footer="720" w:gutter="0"/>
      <w:pgNumType w:fmt="numberInDash"/>
      <w:cols w:space="720" w:num="1"/>
      <w:docGrid w:type="lines"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637976"/>
      <w:docPartObj>
        <w:docPartGallery w:val="autotext"/>
      </w:docPartObj>
    </w:sdtPr>
    <w:sdtContent>
      <w:p>
        <w:pPr>
          <w:pStyle w:val="2"/>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42E8"/>
    <w:rsid w:val="00003AE2"/>
    <w:rsid w:val="000A3DFF"/>
    <w:rsid w:val="001459D9"/>
    <w:rsid w:val="0016434A"/>
    <w:rsid w:val="001D468D"/>
    <w:rsid w:val="002143FC"/>
    <w:rsid w:val="002604D4"/>
    <w:rsid w:val="002D03F5"/>
    <w:rsid w:val="002E5EAF"/>
    <w:rsid w:val="002F77D1"/>
    <w:rsid w:val="00302F8F"/>
    <w:rsid w:val="003118CC"/>
    <w:rsid w:val="00313ED9"/>
    <w:rsid w:val="00377910"/>
    <w:rsid w:val="00387505"/>
    <w:rsid w:val="003C246C"/>
    <w:rsid w:val="00434154"/>
    <w:rsid w:val="004378B6"/>
    <w:rsid w:val="00450FA3"/>
    <w:rsid w:val="00467CE3"/>
    <w:rsid w:val="00494C10"/>
    <w:rsid w:val="004B688F"/>
    <w:rsid w:val="004C1BE3"/>
    <w:rsid w:val="004F6EE3"/>
    <w:rsid w:val="00512697"/>
    <w:rsid w:val="00596BD0"/>
    <w:rsid w:val="005B3ACD"/>
    <w:rsid w:val="005E5F26"/>
    <w:rsid w:val="0064691C"/>
    <w:rsid w:val="00646E10"/>
    <w:rsid w:val="0072403A"/>
    <w:rsid w:val="00810CA8"/>
    <w:rsid w:val="008805D6"/>
    <w:rsid w:val="008C5B36"/>
    <w:rsid w:val="008E22CA"/>
    <w:rsid w:val="00921F34"/>
    <w:rsid w:val="0094288A"/>
    <w:rsid w:val="0099080F"/>
    <w:rsid w:val="009A1BAC"/>
    <w:rsid w:val="00A362B5"/>
    <w:rsid w:val="00A452AE"/>
    <w:rsid w:val="00A55E34"/>
    <w:rsid w:val="00A61A21"/>
    <w:rsid w:val="00A72882"/>
    <w:rsid w:val="00A73F7F"/>
    <w:rsid w:val="00A92F7D"/>
    <w:rsid w:val="00A94456"/>
    <w:rsid w:val="00AA4491"/>
    <w:rsid w:val="00AB2B37"/>
    <w:rsid w:val="00BC03DC"/>
    <w:rsid w:val="00C91453"/>
    <w:rsid w:val="00D11488"/>
    <w:rsid w:val="00D604F4"/>
    <w:rsid w:val="00D67C27"/>
    <w:rsid w:val="00D95459"/>
    <w:rsid w:val="00DA2A2B"/>
    <w:rsid w:val="00DA5083"/>
    <w:rsid w:val="00DB2CA8"/>
    <w:rsid w:val="00DD22BC"/>
    <w:rsid w:val="00E442E7"/>
    <w:rsid w:val="00E75FE6"/>
    <w:rsid w:val="00EA42E8"/>
    <w:rsid w:val="00EF4378"/>
    <w:rsid w:val="00F35A4C"/>
    <w:rsid w:val="00F72040"/>
    <w:rsid w:val="00FA0783"/>
    <w:rsid w:val="00FB5246"/>
    <w:rsid w:val="00FD46F7"/>
    <w:rsid w:val="00FF25BA"/>
    <w:rsid w:val="036479CE"/>
    <w:rsid w:val="038E43FE"/>
    <w:rsid w:val="05402A92"/>
    <w:rsid w:val="115E3013"/>
    <w:rsid w:val="18062FCD"/>
    <w:rsid w:val="29CD3CED"/>
    <w:rsid w:val="2BA106A0"/>
    <w:rsid w:val="323C6E4F"/>
    <w:rsid w:val="32BD3197"/>
    <w:rsid w:val="36CC5F3B"/>
    <w:rsid w:val="3A2C1F77"/>
    <w:rsid w:val="3A2E36BD"/>
    <w:rsid w:val="3E24362F"/>
    <w:rsid w:val="417A7355"/>
    <w:rsid w:val="44686CBA"/>
    <w:rsid w:val="47E40A42"/>
    <w:rsid w:val="48391799"/>
    <w:rsid w:val="4986384A"/>
    <w:rsid w:val="49C65563"/>
    <w:rsid w:val="4EDE46AF"/>
    <w:rsid w:val="50F15B1B"/>
    <w:rsid w:val="54893F52"/>
    <w:rsid w:val="56327A70"/>
    <w:rsid w:val="59E03BD1"/>
    <w:rsid w:val="5E3A53AE"/>
    <w:rsid w:val="60A940E0"/>
    <w:rsid w:val="61C314C4"/>
    <w:rsid w:val="623D7CF4"/>
    <w:rsid w:val="633946C3"/>
    <w:rsid w:val="646B48CB"/>
    <w:rsid w:val="667408DE"/>
    <w:rsid w:val="66DB7A61"/>
    <w:rsid w:val="6AD435D3"/>
    <w:rsid w:val="6F7B27ED"/>
    <w:rsid w:val="6F865755"/>
    <w:rsid w:val="72611E9C"/>
    <w:rsid w:val="7269347E"/>
    <w:rsid w:val="72D53868"/>
    <w:rsid w:val="74B03B42"/>
    <w:rsid w:val="75BB6FC1"/>
    <w:rsid w:val="7C9B53A0"/>
    <w:rsid w:val="7DD4258E"/>
    <w:rsid w:val="7EE95B84"/>
    <w:rsid w:val="9FA36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semiHidden/>
    <w:unhideWhenUsed/>
    <w:qFormat/>
    <w:uiPriority w:val="99"/>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Company>
  <Pages>4</Pages>
  <Words>293</Words>
  <Characters>1675</Characters>
  <Lines>13</Lines>
  <Paragraphs>3</Paragraphs>
  <TotalTime>10</TotalTime>
  <ScaleCrop>false</ScaleCrop>
  <LinksUpToDate>false</LinksUpToDate>
  <CharactersWithSpaces>1965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2020-12-16T15:30:00Z</dcterms:created>
  <dc:creator>xzxx</dc:creator>
  <cp:lastModifiedBy>Administrator</cp:lastModifiedBy>
  <cp:lastPrinted>2021-01-25T10:17:00Z</cp:lastPrinted>
  <dcterms:modified xsi:type="dcterms:W3CDTF">2021-02-09T08:46:06Z</dcterms:modified>
  <dc:title>XXX2020年政府信息公开工作年度报告</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